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0888B" w14:textId="77777777" w:rsidR="007F0E99" w:rsidRDefault="007F0E99"/>
    <w:p w14:paraId="766FF9EE" w14:textId="77777777" w:rsidR="00090CDD" w:rsidRDefault="00090CDD"/>
    <w:p w14:paraId="24B2CFCD" w14:textId="77777777" w:rsidR="00090CDD" w:rsidRDefault="00090CDD"/>
    <w:p w14:paraId="3177F1C9" w14:textId="77777777" w:rsidR="00090CDD" w:rsidRDefault="00090CDD"/>
    <w:p w14:paraId="0B2F3791" w14:textId="2D736B1A" w:rsidR="00090CDD" w:rsidRDefault="00090CDD" w:rsidP="00090CDD">
      <w:pPr>
        <w:jc w:val="center"/>
        <w:rPr>
          <w:rFonts w:ascii="Segoe UI Semibold" w:hAnsi="Segoe UI Semibold"/>
          <w:b/>
          <w:color w:val="0F2544"/>
          <w:sz w:val="68"/>
        </w:rPr>
      </w:pPr>
      <w:r>
        <w:rPr>
          <w:rFonts w:ascii="Segoe UI Semibold" w:hAnsi="Segoe UI Semibold"/>
          <w:b/>
          <w:color w:val="0F2544"/>
          <w:sz w:val="68"/>
        </w:rPr>
        <w:t>SQL Change Guard</w:t>
      </w:r>
    </w:p>
    <w:p w14:paraId="2453A8A7" w14:textId="3879E6A2" w:rsidR="00090CDD" w:rsidRDefault="00090CDD" w:rsidP="00090CDD">
      <w:pPr>
        <w:spacing w:after="80"/>
        <w:jc w:val="center"/>
        <w:rPr>
          <w:rFonts w:cs="Segoe UI"/>
          <w:sz w:val="32"/>
        </w:rPr>
      </w:pPr>
      <w:r>
        <w:rPr>
          <w:rFonts w:cs="Segoe UI"/>
          <w:sz w:val="32"/>
        </w:rPr>
        <w:t>Database Operations Governance Platform</w:t>
      </w:r>
    </w:p>
    <w:p w14:paraId="6C51BDAD" w14:textId="16E68113" w:rsidR="00090CDD" w:rsidRDefault="00090CDD" w:rsidP="00090CDD">
      <w:pPr>
        <w:spacing w:after="80"/>
        <w:jc w:val="center"/>
        <w:rPr>
          <w:rFonts w:ascii="Arial" w:hAnsi="Arial" w:cs="Arial"/>
          <w:color w:val="0F2544"/>
          <w:sz w:val="24"/>
        </w:rPr>
      </w:pPr>
      <w:r>
        <w:rPr>
          <w:rFonts w:ascii="Arial" w:hAnsi="Arial" w:cs="Arial"/>
          <w:color w:val="0F2544"/>
          <w:sz w:val="24"/>
        </w:rPr>
        <w:t>────────────────────────</w:t>
      </w:r>
    </w:p>
    <w:p w14:paraId="255A0491" w14:textId="096E02F9" w:rsidR="00090CDD" w:rsidRDefault="00090CDD" w:rsidP="00090CDD">
      <w:pPr>
        <w:spacing w:before="120" w:after="80"/>
        <w:jc w:val="center"/>
        <w:rPr>
          <w:rFonts w:cs="Segoe UI"/>
          <w:color w:val="5A697D"/>
          <w:sz w:val="24"/>
        </w:rPr>
      </w:pPr>
      <w:r>
        <w:rPr>
          <w:rFonts w:cs="Segoe UI"/>
          <w:color w:val="5A697D"/>
          <w:sz w:val="24"/>
        </w:rPr>
        <w:t>Govern Every Database Change. Protect Every Production Data Access.</w:t>
      </w:r>
    </w:p>
    <w:p w14:paraId="07A4149C" w14:textId="3CB7572D" w:rsidR="00090CDD" w:rsidRDefault="00090CDD" w:rsidP="00090CDD">
      <w:pPr>
        <w:spacing w:before="480" w:after="0"/>
        <w:jc w:val="center"/>
        <w:rPr>
          <w:rFonts w:cs="Segoe UI"/>
          <w:color w:val="5A697D"/>
          <w:sz w:val="20"/>
        </w:rPr>
      </w:pPr>
      <w:r>
        <w:rPr>
          <w:rFonts w:cs="Segoe UI"/>
          <w:color w:val="5A697D"/>
          <w:sz w:val="20"/>
        </w:rPr>
        <w:t>One-Pager  |  SQL Server  |  PostgreSQL  |  Oracle</w:t>
      </w:r>
    </w:p>
    <w:p w14:paraId="46A37022" w14:textId="071191B6" w:rsidR="00090CDD" w:rsidRDefault="00090CDD">
      <w:pPr>
        <w:spacing w:after="160" w:line="278" w:lineRule="auto"/>
        <w:rPr>
          <w:rFonts w:cs="Segoe UI"/>
          <w:color w:val="5A697D"/>
          <w:sz w:val="20"/>
        </w:rPr>
      </w:pPr>
      <w:r>
        <w:rPr>
          <w:rFonts w:cs="Segoe UI"/>
          <w:color w:val="5A697D"/>
          <w:sz w:val="20"/>
        </w:rPr>
        <w:br w:type="page"/>
      </w:r>
    </w:p>
    <w:p w14:paraId="480F9FED" w14:textId="1A771267" w:rsidR="00090CDD" w:rsidRDefault="00090CDD" w:rsidP="00090CDD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lastRenderedPageBreak/>
        <w:t>The Problem We Solve</w:t>
      </w:r>
    </w:p>
    <w:p w14:paraId="42625A86" w14:textId="39F38D0D" w:rsidR="00090CDD" w:rsidRDefault="00090CDD" w:rsidP="00090CDD">
      <w:pPr>
        <w:spacing w:after="160"/>
        <w:rPr>
          <w:rFonts w:cs="Segoe UI"/>
          <w:color w:val="5A697D"/>
          <w:sz w:val="25"/>
        </w:rPr>
      </w:pPr>
      <w:r>
        <w:rPr>
          <w:rFonts w:cs="Segoe UI"/>
          <w:color w:val="5A697D"/>
          <w:sz w:val="25"/>
        </w:rPr>
        <w:t>In most organizations database operations still live in three separate, mostly manual places: change deployment, production data requests, and audit. The result is unanswered questions: who approved it, who ran it, which data left production, was it masked, how do we prove it in an audit.</w:t>
      </w:r>
    </w:p>
    <w:p w14:paraId="232EA1B8" w14:textId="4EFEE603" w:rsidR="00090CDD" w:rsidRDefault="00090CDD" w:rsidP="00090CDD">
      <w:pPr>
        <w:rPr>
          <w:rFonts w:cs="Segoe UI"/>
        </w:rPr>
      </w:pPr>
      <w:r>
        <w:rPr>
          <w:rFonts w:cs="Segoe UI"/>
        </w:rPr>
        <w:t>SQL Change Guard unifies these three areas into one policy-based, end to end auditable platform.</w:t>
      </w:r>
    </w:p>
    <w:p w14:paraId="3796F5A2" w14:textId="5F0D467D" w:rsidR="00090CDD" w:rsidRDefault="00090CDD" w:rsidP="00090CDD">
      <w:pPr>
        <w:spacing w:before="120" w:after="40"/>
        <w:jc w:val="center"/>
        <w:rPr>
          <w:rFonts w:cs="Segoe UI"/>
        </w:rPr>
      </w:pPr>
      <w:r>
        <w:rPr>
          <w:rFonts w:cs="Segoe UI"/>
          <w:noProof/>
        </w:rPr>
        <w:drawing>
          <wp:inline distT="0" distB="0" distL="0" distR="0" wp14:anchorId="1B56019A" wp14:editId="15A9E88F">
            <wp:extent cx="5715000" cy="2822667"/>
            <wp:effectExtent l="19050" t="19050" r="19050" b="15875"/>
            <wp:docPr id="1814826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826919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22667"/>
                    </a:xfrm>
                    <a:prstGeom prst="rect">
                      <a:avLst/>
                    </a:prstGeom>
                    <a:ln w="9525">
                      <a:solidFill>
                        <a:srgbClr val="D2D9E2"/>
                      </a:solidFill>
                    </a:ln>
                  </pic:spPr>
                </pic:pic>
              </a:graphicData>
            </a:graphic>
          </wp:inline>
        </w:drawing>
      </w:r>
    </w:p>
    <w:p w14:paraId="2DC6B215" w14:textId="3AAAAB6B" w:rsidR="00090CDD" w:rsidRDefault="00090CDD" w:rsidP="00090CDD">
      <w:pPr>
        <w:spacing w:before="120" w:after="160"/>
        <w:jc w:val="center"/>
        <w:rPr>
          <w:rFonts w:cs="Segoe UI"/>
          <w:color w:val="5A697D"/>
          <w:sz w:val="18"/>
        </w:rPr>
      </w:pPr>
      <w:r>
        <w:rPr>
          <w:rFonts w:cs="Segoe UI"/>
          <w:color w:val="5A697D"/>
          <w:sz w:val="18"/>
        </w:rPr>
        <w:t>Dashboard - pending approvals, risk distribution and system status</w:t>
      </w:r>
    </w:p>
    <w:p w14:paraId="609FF540" w14:textId="73907037" w:rsidR="00090CDD" w:rsidRDefault="00090CDD" w:rsidP="00090CDD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Three Governance Layers</w:t>
      </w:r>
    </w:p>
    <w:p w14:paraId="03C1C4BF" w14:textId="3BA578DA" w:rsidR="00090CDD" w:rsidRDefault="00090CDD" w:rsidP="00090CDD">
      <w:pPr>
        <w:spacing w:before="200" w:after="80"/>
        <w:rPr>
          <w:rFonts w:ascii="Segoe UI Semibold" w:hAnsi="Segoe UI Semibold" w:cs="Segoe UI Semibold"/>
          <w:b/>
          <w:sz w:val="28"/>
        </w:rPr>
      </w:pPr>
      <w:r>
        <w:rPr>
          <w:rFonts w:ascii="Segoe UI Semibold" w:hAnsi="Segoe UI Semibold" w:cs="Segoe UI Semibold"/>
          <w:b/>
          <w:sz w:val="28"/>
        </w:rPr>
        <w:t>GOVERN - Database Change Governance</w:t>
      </w:r>
    </w:p>
    <w:p w14:paraId="41D03FD7" w14:textId="165D0220" w:rsidR="00090CDD" w:rsidRDefault="00090CDD" w:rsidP="00090CDD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Change request with role-based, multi-step approval workflow</w:t>
      </w:r>
    </w:p>
    <w:p w14:paraId="413966F2" w14:textId="74E83137" w:rsidR="00090CDD" w:rsidRDefault="00090CDD" w:rsidP="00090CDD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Pre-deployment validation with 84+ rules and a 0-100 risk score</w:t>
      </w:r>
    </w:p>
    <w:p w14:paraId="5E415E68" w14:textId="1480515B" w:rsidR="00090CDD" w:rsidRDefault="00090CDD" w:rsidP="00090CDD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Sandbox validation (run and roll back)</w:t>
      </w:r>
    </w:p>
    <w:p w14:paraId="22C370C2" w14:textId="5598D6F4" w:rsidR="00090CDD" w:rsidRDefault="00090CDD" w:rsidP="00090CDD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Release packages, automated rollback (Oracle atomicity), version and object history</w:t>
      </w:r>
    </w:p>
    <w:p w14:paraId="079E9EEB" w14:textId="77777777" w:rsidR="00090CDD" w:rsidRDefault="00090CDD" w:rsidP="00090CDD">
      <w:pPr>
        <w:spacing w:after="60"/>
        <w:rPr>
          <w:rFonts w:cs="Segoe UI"/>
        </w:rPr>
      </w:pPr>
    </w:p>
    <w:p w14:paraId="1158FCCF" w14:textId="1DE74221" w:rsidR="00090CDD" w:rsidRDefault="00090CDD" w:rsidP="00090CDD">
      <w:pPr>
        <w:spacing w:before="200" w:after="80"/>
        <w:rPr>
          <w:rFonts w:ascii="Segoe UI Semibold" w:hAnsi="Segoe UI Semibold" w:cs="Segoe UI Semibold"/>
          <w:b/>
          <w:sz w:val="28"/>
        </w:rPr>
      </w:pPr>
      <w:r>
        <w:rPr>
          <w:rFonts w:ascii="Segoe UI Semibold" w:hAnsi="Segoe UI Semibold" w:cs="Segoe UI Semibold"/>
          <w:b/>
          <w:sz w:val="28"/>
        </w:rPr>
        <w:t>PROTECT - Production Query Governance</w:t>
      </w:r>
    </w:p>
    <w:p w14:paraId="06D6216D" w14:textId="59886064" w:rsidR="00090CDD" w:rsidRDefault="00090CDD" w:rsidP="00090CDD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Central, policy-based governance of production query requests</w:t>
      </w:r>
    </w:p>
    <w:p w14:paraId="3054C7E4" w14:textId="753D6819" w:rsidR="00090CDD" w:rsidRDefault="00090CDD" w:rsidP="00090CDD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Critical object detection and automatic masking for sensitive data (national ID, card, IBAN, phone)</w:t>
      </w:r>
    </w:p>
    <w:p w14:paraId="6394DA95" w14:textId="6E74F0DA" w:rsidR="00090CDD" w:rsidRDefault="00090CDD" w:rsidP="00090CDD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Additional security approval for unmasked data, first-time email verification</w:t>
      </w:r>
    </w:p>
    <w:p w14:paraId="603E136D" w14:textId="5BB7B562" w:rsidR="00090CDD" w:rsidRDefault="00090CDD" w:rsidP="00090CDD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Encrypted ZIP delivery, download reason and download tracking</w:t>
      </w:r>
    </w:p>
    <w:p w14:paraId="3C4C6074" w14:textId="77777777" w:rsidR="00090CDD" w:rsidRDefault="00090CDD" w:rsidP="00090CDD">
      <w:pPr>
        <w:spacing w:after="60"/>
        <w:rPr>
          <w:rFonts w:cs="Segoe UI"/>
        </w:rPr>
      </w:pPr>
    </w:p>
    <w:p w14:paraId="4A06FD8A" w14:textId="7D731DD2" w:rsidR="00090CDD" w:rsidRDefault="00090CDD" w:rsidP="00090CDD">
      <w:pPr>
        <w:spacing w:before="120" w:after="40"/>
        <w:jc w:val="center"/>
        <w:rPr>
          <w:rFonts w:cs="Segoe UI"/>
        </w:rPr>
      </w:pPr>
      <w:r>
        <w:rPr>
          <w:rFonts w:cs="Segoe UI"/>
          <w:noProof/>
        </w:rPr>
        <w:lastRenderedPageBreak/>
        <w:drawing>
          <wp:inline distT="0" distB="0" distL="0" distR="0" wp14:anchorId="444C0636" wp14:editId="46D287A0">
            <wp:extent cx="5715000" cy="2815582"/>
            <wp:effectExtent l="19050" t="19050" r="19050" b="23495"/>
            <wp:docPr id="9755520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552075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15582"/>
                    </a:xfrm>
                    <a:prstGeom prst="rect">
                      <a:avLst/>
                    </a:prstGeom>
                    <a:ln w="9525">
                      <a:solidFill>
                        <a:srgbClr val="D2D9E2"/>
                      </a:solidFill>
                    </a:ln>
                  </pic:spPr>
                </pic:pic>
              </a:graphicData>
            </a:graphic>
          </wp:inline>
        </w:drawing>
      </w:r>
    </w:p>
    <w:p w14:paraId="68D8FCBE" w14:textId="676501DA" w:rsidR="00090CDD" w:rsidRDefault="00090CDD" w:rsidP="00090CDD">
      <w:pPr>
        <w:spacing w:before="120" w:after="160"/>
        <w:jc w:val="center"/>
        <w:rPr>
          <w:rFonts w:cs="Segoe UI"/>
          <w:color w:val="5A697D"/>
          <w:sz w:val="18"/>
        </w:rPr>
      </w:pPr>
      <w:r>
        <w:rPr>
          <w:rFonts w:cs="Segoe UI"/>
          <w:color w:val="5A697D"/>
          <w:sz w:val="18"/>
        </w:rPr>
        <w:t>Query Result with automatic masking - sensitive columns (national ID, IBAN, card) are masked</w:t>
      </w:r>
    </w:p>
    <w:p w14:paraId="3EE6DC55" w14:textId="399F8C9C" w:rsidR="00090CDD" w:rsidRDefault="00090CDD" w:rsidP="00090CDD">
      <w:pPr>
        <w:spacing w:before="200" w:after="80"/>
        <w:rPr>
          <w:rFonts w:ascii="Segoe UI Semibold" w:hAnsi="Segoe UI Semibold" w:cs="Segoe UI Semibold"/>
          <w:b/>
          <w:sz w:val="28"/>
        </w:rPr>
      </w:pPr>
      <w:r>
        <w:rPr>
          <w:rFonts w:ascii="Segoe UI Semibold" w:hAnsi="Segoe UI Semibold" w:cs="Segoe UI Semibold"/>
          <w:b/>
          <w:sz w:val="28"/>
        </w:rPr>
        <w:t>COMPLY - Compliance and Audit</w:t>
      </w:r>
    </w:p>
    <w:p w14:paraId="532AA0E9" w14:textId="37151BA0" w:rsidR="00090CDD" w:rsidRDefault="00090CDD" w:rsidP="00090CDD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Immutable audit records protected by a hash chain</w:t>
      </w:r>
    </w:p>
    <w:p w14:paraId="66E7609A" w14:textId="0B85B776" w:rsidR="00090CDD" w:rsidRDefault="00090CDD" w:rsidP="00090CDD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Approval, download and execution history; evidence packages for audits</w:t>
      </w:r>
    </w:p>
    <w:p w14:paraId="43DE751E" w14:textId="3DA9757B" w:rsidR="00090CDD" w:rsidRDefault="00090CDD" w:rsidP="00090CDD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 w:rsidR="00BF0482">
        <w:rPr>
          <w:rFonts w:cs="Segoe UI"/>
        </w:rPr>
        <w:t>30 built-in reports</w:t>
      </w:r>
      <w:r>
        <w:rPr>
          <w:rFonts w:cs="Segoe UI"/>
        </w:rPr>
        <w:t xml:space="preserve"> (DML/DDL/DCL audit, critical object access, privilege movements, QR masking)</w:t>
      </w:r>
    </w:p>
    <w:p w14:paraId="67E9540D" w14:textId="2851C6DB" w:rsidR="00090CDD" w:rsidRDefault="00090CDD" w:rsidP="00090CDD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Alignment with KVKK, ISO 27001, COBIT and ITIL</w:t>
      </w:r>
    </w:p>
    <w:p w14:paraId="0024D603" w14:textId="77777777" w:rsidR="00090CDD" w:rsidRDefault="00090CDD" w:rsidP="00090CDD">
      <w:pPr>
        <w:spacing w:after="60"/>
        <w:rPr>
          <w:rFonts w:cs="Segoe UI"/>
        </w:rPr>
      </w:pPr>
    </w:p>
    <w:p w14:paraId="5A3B2E93" w14:textId="2B769E23" w:rsidR="00090CDD" w:rsidRDefault="00090CDD" w:rsidP="00090CDD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Why SQL Change Guard?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5"/>
        <w:gridCol w:w="4835"/>
      </w:tblGrid>
      <w:tr w:rsidR="00090CDD" w:rsidRPr="00090CDD" w14:paraId="443AF394" w14:textId="77777777" w:rsidTr="00090CDD">
        <w:tc>
          <w:tcPr>
            <w:tcW w:w="4840" w:type="dxa"/>
            <w:shd w:val="clear" w:color="auto" w:fill="0F2544"/>
          </w:tcPr>
          <w:p w14:paraId="41D4C8F2" w14:textId="747B7273" w:rsidR="00090CDD" w:rsidRPr="00090CDD" w:rsidRDefault="00090CDD" w:rsidP="00090CDD">
            <w:pPr>
              <w:spacing w:before="280"/>
              <w:rPr>
                <w:rFonts w:cs="Segoe UI"/>
                <w:b/>
                <w:color w:val="F4F6FA"/>
                <w:sz w:val="20"/>
              </w:rPr>
            </w:pPr>
            <w:r w:rsidRPr="00090CDD">
              <w:rPr>
                <w:rFonts w:cs="Segoe UI"/>
                <w:b/>
                <w:color w:val="F4F6FA"/>
                <w:sz w:val="20"/>
              </w:rPr>
              <w:t>Value</w:t>
            </w:r>
          </w:p>
        </w:tc>
        <w:tc>
          <w:tcPr>
            <w:tcW w:w="4840" w:type="dxa"/>
            <w:shd w:val="clear" w:color="auto" w:fill="0F2544"/>
          </w:tcPr>
          <w:p w14:paraId="1B2DB9BB" w14:textId="3EE28CE1" w:rsidR="00090CDD" w:rsidRPr="00090CDD" w:rsidRDefault="00090CDD" w:rsidP="00090CDD">
            <w:pPr>
              <w:spacing w:before="280"/>
              <w:rPr>
                <w:rFonts w:cs="Segoe UI"/>
                <w:b/>
                <w:color w:val="F4F6FA"/>
                <w:sz w:val="20"/>
              </w:rPr>
            </w:pPr>
            <w:r w:rsidRPr="00090CDD">
              <w:rPr>
                <w:rFonts w:cs="Segoe UI"/>
                <w:b/>
                <w:color w:val="F4F6FA"/>
                <w:sz w:val="20"/>
              </w:rPr>
              <w:t>What It Delivers</w:t>
            </w:r>
          </w:p>
        </w:tc>
      </w:tr>
      <w:tr w:rsidR="00090CDD" w:rsidRPr="00090CDD" w14:paraId="05B289A5" w14:textId="77777777" w:rsidTr="00090CDD">
        <w:tc>
          <w:tcPr>
            <w:tcW w:w="4840" w:type="dxa"/>
            <w:tcBorders>
              <w:bottom w:val="single" w:sz="4" w:space="0" w:color="auto"/>
            </w:tcBorders>
          </w:tcPr>
          <w:p w14:paraId="249F5AE5" w14:textId="14436B2F" w:rsidR="00090CDD" w:rsidRPr="00090CDD" w:rsidRDefault="00090CDD" w:rsidP="00090CDD">
            <w:pPr>
              <w:spacing w:before="280"/>
              <w:rPr>
                <w:rFonts w:cs="Segoe UI"/>
                <w:b/>
                <w:sz w:val="20"/>
              </w:rPr>
            </w:pPr>
            <w:r w:rsidRPr="00090CDD">
              <w:rPr>
                <w:rFonts w:cs="Segoe UI"/>
                <w:b/>
                <w:sz w:val="20"/>
              </w:rPr>
              <w:t>One platform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106ECCC6" w14:textId="79739C93" w:rsidR="00090CDD" w:rsidRPr="00090CDD" w:rsidRDefault="00090CDD" w:rsidP="00090CDD">
            <w:pPr>
              <w:spacing w:before="280"/>
              <w:rPr>
                <w:rFonts w:cs="Segoe UI"/>
                <w:b/>
                <w:sz w:val="20"/>
              </w:rPr>
            </w:pPr>
            <w:r w:rsidRPr="00090CDD">
              <w:rPr>
                <w:rFonts w:cs="Segoe UI"/>
                <w:b/>
                <w:sz w:val="20"/>
              </w:rPr>
              <w:t>Change, data access and compliance in one place</w:t>
            </w:r>
          </w:p>
        </w:tc>
      </w:tr>
      <w:tr w:rsidR="00090CDD" w:rsidRPr="00090CDD" w14:paraId="6C6E6B28" w14:textId="77777777" w:rsidTr="00090CDD">
        <w:tc>
          <w:tcPr>
            <w:tcW w:w="4840" w:type="dxa"/>
            <w:shd w:val="clear" w:color="auto" w:fill="F0F4FA"/>
          </w:tcPr>
          <w:p w14:paraId="2D573DE2" w14:textId="634A9D93" w:rsidR="00090CDD" w:rsidRPr="00090CDD" w:rsidRDefault="00090CDD" w:rsidP="00090CDD">
            <w:pPr>
              <w:spacing w:before="280"/>
              <w:rPr>
                <w:rFonts w:cs="Segoe UI"/>
                <w:b/>
                <w:sz w:val="20"/>
              </w:rPr>
            </w:pPr>
            <w:r w:rsidRPr="00090CDD">
              <w:rPr>
                <w:rFonts w:cs="Segoe UI"/>
                <w:b/>
                <w:sz w:val="20"/>
              </w:rPr>
              <w:t>Three databases</w:t>
            </w:r>
          </w:p>
        </w:tc>
        <w:tc>
          <w:tcPr>
            <w:tcW w:w="4840" w:type="dxa"/>
            <w:shd w:val="clear" w:color="auto" w:fill="F0F4FA"/>
          </w:tcPr>
          <w:p w14:paraId="06EDD0C3" w14:textId="408BF914" w:rsidR="00090CDD" w:rsidRPr="00090CDD" w:rsidRDefault="00090CDD" w:rsidP="00090CDD">
            <w:pPr>
              <w:spacing w:before="280"/>
              <w:rPr>
                <w:rFonts w:cs="Segoe UI"/>
                <w:b/>
                <w:sz w:val="20"/>
              </w:rPr>
            </w:pPr>
            <w:r w:rsidRPr="00090CDD">
              <w:rPr>
                <w:rFonts w:cs="Segoe UI"/>
                <w:b/>
                <w:sz w:val="20"/>
              </w:rPr>
              <w:t>SQL Server, PostgreSQL, Oracle with the same governance model</w:t>
            </w:r>
          </w:p>
        </w:tc>
      </w:tr>
      <w:tr w:rsidR="00090CDD" w:rsidRPr="00090CDD" w14:paraId="14F7129F" w14:textId="77777777" w:rsidTr="00090CDD">
        <w:tc>
          <w:tcPr>
            <w:tcW w:w="4840" w:type="dxa"/>
            <w:tcBorders>
              <w:bottom w:val="single" w:sz="4" w:space="0" w:color="auto"/>
            </w:tcBorders>
          </w:tcPr>
          <w:p w14:paraId="6311BEB6" w14:textId="54DF4496" w:rsidR="00090CDD" w:rsidRPr="00090CDD" w:rsidRDefault="00090CDD" w:rsidP="00090CDD">
            <w:pPr>
              <w:spacing w:before="280"/>
              <w:rPr>
                <w:rFonts w:cs="Segoe UI"/>
                <w:b/>
                <w:sz w:val="20"/>
              </w:rPr>
            </w:pPr>
            <w:r w:rsidRPr="00090CDD">
              <w:rPr>
                <w:rFonts w:cs="Segoe UI"/>
                <w:b/>
                <w:sz w:val="20"/>
              </w:rPr>
              <w:t>Differentiation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3ACE3C96" w14:textId="145723E8" w:rsidR="00090CDD" w:rsidRPr="00090CDD" w:rsidRDefault="00090CDD" w:rsidP="00090CDD">
            <w:pPr>
              <w:spacing w:before="280"/>
              <w:rPr>
                <w:rFonts w:cs="Segoe UI"/>
                <w:b/>
                <w:sz w:val="20"/>
              </w:rPr>
            </w:pPr>
            <w:r w:rsidRPr="00090CDD">
              <w:rPr>
                <w:rFonts w:cs="Segoe UI"/>
                <w:b/>
                <w:sz w:val="20"/>
              </w:rPr>
              <w:t>Production data access and masking layer, beyond migration tools</w:t>
            </w:r>
          </w:p>
        </w:tc>
      </w:tr>
      <w:tr w:rsidR="00090CDD" w:rsidRPr="00090CDD" w14:paraId="16C4F028" w14:textId="77777777" w:rsidTr="00090CDD">
        <w:tc>
          <w:tcPr>
            <w:tcW w:w="4840" w:type="dxa"/>
            <w:shd w:val="clear" w:color="auto" w:fill="F0F4FA"/>
          </w:tcPr>
          <w:p w14:paraId="65922637" w14:textId="6E0946F5" w:rsidR="00090CDD" w:rsidRPr="00090CDD" w:rsidRDefault="00090CDD" w:rsidP="00090CDD">
            <w:pPr>
              <w:spacing w:before="280"/>
              <w:rPr>
                <w:rFonts w:cs="Segoe UI"/>
                <w:b/>
                <w:sz w:val="20"/>
              </w:rPr>
            </w:pPr>
            <w:r w:rsidRPr="00090CDD">
              <w:rPr>
                <w:rFonts w:cs="Segoe UI"/>
                <w:b/>
                <w:sz w:val="20"/>
              </w:rPr>
              <w:t>On-premise</w:t>
            </w:r>
          </w:p>
        </w:tc>
        <w:tc>
          <w:tcPr>
            <w:tcW w:w="4840" w:type="dxa"/>
            <w:shd w:val="clear" w:color="auto" w:fill="F0F4FA"/>
          </w:tcPr>
          <w:p w14:paraId="32D0FE9F" w14:textId="74F41060" w:rsidR="00090CDD" w:rsidRPr="00090CDD" w:rsidRDefault="00090CDD" w:rsidP="00090CDD">
            <w:pPr>
              <w:spacing w:before="280"/>
              <w:rPr>
                <w:rFonts w:cs="Segoe UI"/>
                <w:b/>
                <w:sz w:val="20"/>
              </w:rPr>
            </w:pPr>
            <w:r w:rsidRPr="00090CDD">
              <w:rPr>
                <w:rFonts w:cs="Segoe UI"/>
                <w:b/>
                <w:sz w:val="20"/>
              </w:rPr>
              <w:t>No data leaves the corporate network, no internet required</w:t>
            </w:r>
          </w:p>
        </w:tc>
      </w:tr>
      <w:tr w:rsidR="00090CDD" w:rsidRPr="00090CDD" w14:paraId="0E8DE449" w14:textId="77777777" w:rsidTr="00090CDD">
        <w:tc>
          <w:tcPr>
            <w:tcW w:w="4840" w:type="dxa"/>
          </w:tcPr>
          <w:p w14:paraId="1C3DF292" w14:textId="522517F4" w:rsidR="00090CDD" w:rsidRPr="00090CDD" w:rsidRDefault="00090CDD" w:rsidP="00090CDD">
            <w:pPr>
              <w:spacing w:before="280"/>
              <w:rPr>
                <w:rFonts w:cs="Segoe UI"/>
                <w:b/>
                <w:sz w:val="20"/>
              </w:rPr>
            </w:pPr>
            <w:r w:rsidRPr="00090CDD">
              <w:rPr>
                <w:rFonts w:cs="Segoe UI"/>
                <w:b/>
                <w:sz w:val="20"/>
              </w:rPr>
              <w:lastRenderedPageBreak/>
              <w:t>Audit ready</w:t>
            </w:r>
          </w:p>
        </w:tc>
        <w:tc>
          <w:tcPr>
            <w:tcW w:w="4840" w:type="dxa"/>
          </w:tcPr>
          <w:p w14:paraId="0F8F7BD2" w14:textId="7414C6D3" w:rsidR="00090CDD" w:rsidRPr="00090CDD" w:rsidRDefault="00090CDD" w:rsidP="00090CDD">
            <w:pPr>
              <w:spacing w:before="280"/>
              <w:rPr>
                <w:rFonts w:cs="Segoe UI"/>
                <w:b/>
                <w:sz w:val="20"/>
              </w:rPr>
            </w:pPr>
            <w:r w:rsidRPr="00090CDD">
              <w:rPr>
                <w:rFonts w:cs="Segoe UI"/>
                <w:b/>
                <w:sz w:val="20"/>
              </w:rPr>
              <w:t>Banking and enterprise audit evidence generated automatically</w:t>
            </w:r>
          </w:p>
        </w:tc>
      </w:tr>
    </w:tbl>
    <w:p w14:paraId="322A207F" w14:textId="77777777" w:rsidR="00090CDD" w:rsidRDefault="00090CDD" w:rsidP="00090CDD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</w:p>
    <w:p w14:paraId="4EA7DB7B" w14:textId="189BD2A8" w:rsidR="00090CDD" w:rsidRDefault="00090CDD" w:rsidP="00090CDD">
      <w:pPr>
        <w:spacing w:before="160" w:after="160"/>
        <w:ind w:left="160"/>
        <w:rPr>
          <w:rFonts w:cs="Segoe UI"/>
          <w:b/>
          <w:color w:val="0F2544"/>
        </w:rPr>
      </w:pPr>
      <w:r>
        <w:rPr>
          <w:rFonts w:cs="Segoe UI"/>
          <w:b/>
          <w:color w:val="0F2544"/>
        </w:rPr>
        <w:t>Security is not only about what goes to production; it is also about which data comes out of production.</w:t>
      </w:r>
    </w:p>
    <w:p w14:paraId="2167D032" w14:textId="26AAC40A" w:rsidR="00090CDD" w:rsidRDefault="00090CDD" w:rsidP="00090CDD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Contact</w:t>
      </w:r>
    </w:p>
    <w:p w14:paraId="3905E724" w14:textId="20405BC9" w:rsidR="00090CDD" w:rsidRDefault="00090CDD" w:rsidP="00090CDD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Web: www.sqlchangeguard.com</w:t>
      </w:r>
    </w:p>
    <w:p w14:paraId="1170A137" w14:textId="05132CF2" w:rsidR="00090CDD" w:rsidRDefault="00090CDD" w:rsidP="00090CDD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Email: onur.egilmez@sqlchangeguard.com  |  info@sqlchangeguard.com</w:t>
      </w:r>
    </w:p>
    <w:p w14:paraId="39D6A0F5" w14:textId="1163ABFC" w:rsidR="00090CDD" w:rsidRDefault="00090CDD" w:rsidP="00090CDD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Phone: +90 505 621 29 02</w:t>
      </w:r>
    </w:p>
    <w:p w14:paraId="4DE31AF4" w14:textId="074503E6" w:rsidR="00090CDD" w:rsidRDefault="00090CDD" w:rsidP="00090CDD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LinkedIn: linkedin.com/company/sqlchangeguard</w:t>
      </w:r>
    </w:p>
    <w:p w14:paraId="5E529D19" w14:textId="77777777" w:rsidR="00090CDD" w:rsidRDefault="00090CDD" w:rsidP="00090CDD">
      <w:pPr>
        <w:spacing w:after="60"/>
        <w:rPr>
          <w:rFonts w:cs="Segoe UI"/>
        </w:rPr>
      </w:pPr>
    </w:p>
    <w:p w14:paraId="188795A6" w14:textId="77777777" w:rsidR="00090CDD" w:rsidRPr="00090CDD" w:rsidRDefault="00090CDD" w:rsidP="00090CDD">
      <w:pPr>
        <w:spacing w:after="60"/>
        <w:rPr>
          <w:rFonts w:cs="Segoe UI"/>
        </w:rPr>
      </w:pPr>
    </w:p>
    <w:sectPr w:rsidR="00090CDD" w:rsidRPr="00090CDD" w:rsidSect="00090C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00" w:right="1280" w:bottom="1200" w:left="12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031DB" w14:textId="77777777" w:rsidR="005D7E97" w:rsidRDefault="005D7E97" w:rsidP="00090CDD">
      <w:pPr>
        <w:spacing w:after="0"/>
      </w:pPr>
      <w:r>
        <w:separator/>
      </w:r>
    </w:p>
  </w:endnote>
  <w:endnote w:type="continuationSeparator" w:id="0">
    <w:p w14:paraId="44BB9D00" w14:textId="77777777" w:rsidR="005D7E97" w:rsidRDefault="005D7E97" w:rsidP="00090C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C2A3B" w14:textId="77777777" w:rsidR="00090CDD" w:rsidRDefault="00090C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4EC17" w14:textId="01B2E39C" w:rsidR="00090CDD" w:rsidRPr="00090CDD" w:rsidRDefault="00090CDD" w:rsidP="00090CDD">
    <w:pPr>
      <w:pStyle w:val="Footer"/>
      <w:jc w:val="center"/>
      <w:rPr>
        <w:rFonts w:cs="Segoe UI"/>
        <w:color w:val="5A697D"/>
        <w:sz w:val="16"/>
      </w:rPr>
    </w:pPr>
    <w:r>
      <w:rPr>
        <w:rFonts w:cs="Segoe UI"/>
        <w:color w:val="5A697D"/>
        <w:sz w:val="16"/>
      </w:rPr>
      <w:t>SQL Change Guard  |  Database Operations Governance Platform  |  sqlchangeguard.com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E675" w14:textId="77777777" w:rsidR="00090CDD" w:rsidRDefault="00090C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0EC22" w14:textId="77777777" w:rsidR="005D7E97" w:rsidRDefault="005D7E97" w:rsidP="00090CDD">
      <w:pPr>
        <w:spacing w:after="0"/>
      </w:pPr>
      <w:r>
        <w:separator/>
      </w:r>
    </w:p>
  </w:footnote>
  <w:footnote w:type="continuationSeparator" w:id="0">
    <w:p w14:paraId="1141DAD2" w14:textId="77777777" w:rsidR="005D7E97" w:rsidRDefault="005D7E97" w:rsidP="00090C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6A5E9" w14:textId="77777777" w:rsidR="00090CDD" w:rsidRDefault="00090C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1FA15" w14:textId="77777777" w:rsidR="00090CDD" w:rsidRDefault="00090C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16980" w14:textId="77777777" w:rsidR="00090CDD" w:rsidRDefault="00090C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DD"/>
    <w:rsid w:val="000279E4"/>
    <w:rsid w:val="00090CDD"/>
    <w:rsid w:val="003D4FD6"/>
    <w:rsid w:val="00511DDA"/>
    <w:rsid w:val="005D7E97"/>
    <w:rsid w:val="006F2242"/>
    <w:rsid w:val="007F0E99"/>
    <w:rsid w:val="00BA57F3"/>
    <w:rsid w:val="00BF0482"/>
    <w:rsid w:val="00D43A65"/>
    <w:rsid w:val="00E9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3DA74"/>
  <w15:chartTrackingRefBased/>
  <w15:docId w15:val="{37EDC447-2451-4DA9-9903-84F8578A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40" w:lineRule="auto"/>
    </w:pPr>
    <w:rPr>
      <w:rFonts w:ascii="Segoe UI" w:hAnsi="Segoe UI"/>
      <w:color w:val="1E293B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0C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C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C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C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C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C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C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C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C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C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C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C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C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C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C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C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C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C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C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C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C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C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C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C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C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C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CD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0CDD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90CDD"/>
    <w:rPr>
      <w:rFonts w:ascii="Segoe UI" w:hAnsi="Segoe UI"/>
      <w:color w:val="1E293B"/>
      <w:sz w:val="22"/>
    </w:rPr>
  </w:style>
  <w:style w:type="paragraph" w:styleId="Footer">
    <w:name w:val="footer"/>
    <w:basedOn w:val="Normal"/>
    <w:link w:val="FooterChar"/>
    <w:uiPriority w:val="99"/>
    <w:unhideWhenUsed/>
    <w:rsid w:val="00090CDD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90CDD"/>
    <w:rPr>
      <w:rFonts w:ascii="Segoe UI" w:hAnsi="Segoe UI"/>
      <w:color w:val="1E293B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eğilmez</dc:creator>
  <cp:keywords/>
  <dc:description/>
  <cp:lastModifiedBy>onur eğilmez</cp:lastModifiedBy>
  <cp:revision>2</cp:revision>
  <dcterms:created xsi:type="dcterms:W3CDTF">2026-07-13T19:33:00Z</dcterms:created>
  <dcterms:modified xsi:type="dcterms:W3CDTF">2026-08-03T12:05:00Z</dcterms:modified>
</cp:coreProperties>
</file>