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B660" w14:textId="77777777" w:rsidR="007F0E99" w:rsidRDefault="007F0E99"/>
    <w:p w14:paraId="26440458" w14:textId="77777777" w:rsidR="00A265D5" w:rsidRDefault="00A265D5"/>
    <w:p w14:paraId="0F551FBF" w14:textId="77777777" w:rsidR="00A265D5" w:rsidRDefault="00A265D5"/>
    <w:p w14:paraId="1D65B8D9" w14:textId="77777777" w:rsidR="00A265D5" w:rsidRDefault="00A265D5"/>
    <w:p w14:paraId="29A7B48D" w14:textId="21C6419E" w:rsidR="00A265D5" w:rsidRDefault="00A265D5" w:rsidP="00A265D5">
      <w:pPr>
        <w:jc w:val="center"/>
        <w:rPr>
          <w:rFonts w:ascii="Segoe UI Semibold" w:hAnsi="Segoe UI Semibold"/>
          <w:b/>
          <w:color w:val="0F2544"/>
          <w:sz w:val="68"/>
        </w:rPr>
      </w:pPr>
      <w:r>
        <w:rPr>
          <w:rFonts w:ascii="Segoe UI Semibold" w:hAnsi="Segoe UI Semibold"/>
          <w:b/>
          <w:color w:val="0F2544"/>
          <w:sz w:val="68"/>
        </w:rPr>
        <w:t>SQL Change Guard</w:t>
      </w:r>
    </w:p>
    <w:p w14:paraId="419B7168" w14:textId="035A773B" w:rsidR="00A265D5" w:rsidRDefault="00A265D5" w:rsidP="00A265D5">
      <w:pPr>
        <w:spacing w:after="80"/>
        <w:jc w:val="center"/>
        <w:rPr>
          <w:rFonts w:cs="Segoe UI"/>
          <w:sz w:val="32"/>
        </w:rPr>
      </w:pPr>
      <w:r>
        <w:rPr>
          <w:rFonts w:cs="Segoe UI"/>
          <w:sz w:val="32"/>
        </w:rPr>
        <w:t>Veritabanı Operasyonları Yönetişim Platformu</w:t>
      </w:r>
    </w:p>
    <w:p w14:paraId="57B50096" w14:textId="55E4541B" w:rsidR="00A265D5" w:rsidRDefault="00A265D5" w:rsidP="00A265D5">
      <w:pPr>
        <w:spacing w:after="80"/>
        <w:jc w:val="center"/>
        <w:rPr>
          <w:rFonts w:ascii="Arial" w:hAnsi="Arial" w:cs="Arial"/>
          <w:color w:val="0F2544"/>
          <w:sz w:val="24"/>
        </w:rPr>
      </w:pPr>
      <w:r>
        <w:rPr>
          <w:rFonts w:ascii="Arial" w:hAnsi="Arial" w:cs="Arial"/>
          <w:color w:val="0F2544"/>
          <w:sz w:val="24"/>
        </w:rPr>
        <w:t>────────────────────────</w:t>
      </w:r>
    </w:p>
    <w:p w14:paraId="21F546F1" w14:textId="59AF58A7" w:rsidR="00A265D5" w:rsidRDefault="00A265D5" w:rsidP="00A265D5">
      <w:pPr>
        <w:spacing w:before="120" w:after="80"/>
        <w:jc w:val="center"/>
        <w:rPr>
          <w:rFonts w:cs="Segoe UI"/>
          <w:color w:val="5A697D"/>
          <w:sz w:val="24"/>
        </w:rPr>
      </w:pPr>
      <w:r>
        <w:rPr>
          <w:rFonts w:cs="Segoe UI"/>
          <w:color w:val="5A697D"/>
          <w:sz w:val="24"/>
        </w:rPr>
        <w:t>Her Veritabanı Değişikliğini Yönetin. Her Production Veri Erişimini Koruyun.</w:t>
      </w:r>
    </w:p>
    <w:p w14:paraId="1D3FAAFB" w14:textId="2E8F1416" w:rsidR="00A265D5" w:rsidRDefault="00A265D5" w:rsidP="00A265D5">
      <w:pPr>
        <w:spacing w:before="480" w:after="0"/>
        <w:jc w:val="center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t>Tek Sayfa Özet  |  SQL Server  |  PostgreSQL  |  Oracle</w:t>
      </w:r>
    </w:p>
    <w:p w14:paraId="6D41D47C" w14:textId="118194C2" w:rsidR="00A265D5" w:rsidRDefault="00A265D5">
      <w:pPr>
        <w:spacing w:after="160" w:line="278" w:lineRule="auto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br w:type="page"/>
      </w:r>
    </w:p>
    <w:p w14:paraId="333485C2" w14:textId="00FC2E8F" w:rsidR="00A265D5" w:rsidRDefault="00A265D5" w:rsidP="00A265D5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lastRenderedPageBreak/>
        <w:t>Çözdüğümüz Problem</w:t>
      </w:r>
    </w:p>
    <w:p w14:paraId="4D650203" w14:textId="3D800559" w:rsidR="00A265D5" w:rsidRDefault="00A265D5" w:rsidP="00A265D5">
      <w:pPr>
        <w:spacing w:after="160"/>
        <w:rPr>
          <w:rFonts w:cs="Segoe UI"/>
          <w:color w:val="5A697D"/>
          <w:sz w:val="25"/>
        </w:rPr>
      </w:pPr>
      <w:r>
        <w:rPr>
          <w:rFonts w:cs="Segoe UI"/>
          <w:color w:val="5A697D"/>
          <w:sz w:val="25"/>
        </w:rPr>
        <w:t>Kurumlarda veritabanı operasyonları hâlâ üç ayrı yerde, çoğunlukla manuel yürütülür: değişiklik dağıtımı, production veri talepleri ve denetim. Sonuç: kim onayladı, kim çalıştırdı, hangi veri dışarı çıktı, maskelendi mi, denetimde nasıl ispat edeceğiz sorularının cevapsız kalması.</w:t>
      </w:r>
    </w:p>
    <w:p w14:paraId="5EFFE5C0" w14:textId="1A1DD9BC" w:rsidR="00A265D5" w:rsidRDefault="00A265D5" w:rsidP="00A265D5">
      <w:pPr>
        <w:rPr>
          <w:rFonts w:cs="Segoe UI"/>
        </w:rPr>
      </w:pPr>
      <w:r>
        <w:rPr>
          <w:rFonts w:cs="Segoe UI"/>
        </w:rPr>
        <w:t>SQL Change Guard bu üç alanı tek platformda, policy tabanlı ve uçtan uca denetlenebilir hâle getirir.</w:t>
      </w:r>
    </w:p>
    <w:p w14:paraId="7B744517" w14:textId="209EFE25" w:rsidR="00A265D5" w:rsidRDefault="00A265D5" w:rsidP="00A265D5">
      <w:pPr>
        <w:spacing w:before="120" w:after="40"/>
        <w:jc w:val="center"/>
        <w:rPr>
          <w:rFonts w:cs="Segoe UI"/>
        </w:rPr>
      </w:pPr>
      <w:r>
        <w:rPr>
          <w:rFonts w:cs="Segoe UI"/>
          <w:noProof/>
        </w:rPr>
        <w:drawing>
          <wp:inline distT="0" distB="0" distL="0" distR="0" wp14:anchorId="0E889721" wp14:editId="0D742BC2">
            <wp:extent cx="5715000" cy="2822667"/>
            <wp:effectExtent l="19050" t="19050" r="19050" b="15875"/>
            <wp:docPr id="1440262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62395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22667"/>
                    </a:xfrm>
                    <a:prstGeom prst="rect">
                      <a:avLst/>
                    </a:prstGeom>
                    <a:ln w="9525">
                      <a:solidFill>
                        <a:srgbClr val="D2D9E2"/>
                      </a:solidFill>
                    </a:ln>
                  </pic:spPr>
                </pic:pic>
              </a:graphicData>
            </a:graphic>
          </wp:inline>
        </w:drawing>
      </w:r>
    </w:p>
    <w:p w14:paraId="67B5F538" w14:textId="4A8D5FC7" w:rsidR="00A265D5" w:rsidRDefault="00A265D5" w:rsidP="00A265D5">
      <w:pPr>
        <w:spacing w:before="120" w:after="160"/>
        <w:jc w:val="center"/>
        <w:rPr>
          <w:rFonts w:cs="Segoe UI"/>
          <w:color w:val="5A697D"/>
          <w:sz w:val="18"/>
        </w:rPr>
      </w:pPr>
      <w:r>
        <w:rPr>
          <w:rFonts w:cs="Segoe UI"/>
          <w:color w:val="5A697D"/>
          <w:sz w:val="18"/>
        </w:rPr>
        <w:t>Kontrol Paneli - bekleyen onaylar, risk dağılımı ve sistem durumu</w:t>
      </w:r>
    </w:p>
    <w:p w14:paraId="1717CA38" w14:textId="06B577BA" w:rsidR="00A265D5" w:rsidRDefault="00A265D5" w:rsidP="00A265D5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Üç Yönetişim Katmanı</w:t>
      </w:r>
    </w:p>
    <w:p w14:paraId="033BA7D2" w14:textId="22A1E71A" w:rsidR="00A265D5" w:rsidRDefault="00A265D5" w:rsidP="00A265D5">
      <w:pPr>
        <w:spacing w:before="200" w:after="80"/>
        <w:rPr>
          <w:rFonts w:ascii="Segoe UI Semibold" w:hAnsi="Segoe UI Semibold" w:cs="Segoe UI Semibold"/>
          <w:b/>
          <w:sz w:val="28"/>
        </w:rPr>
      </w:pPr>
      <w:r>
        <w:rPr>
          <w:rFonts w:ascii="Segoe UI Semibold" w:hAnsi="Segoe UI Semibold" w:cs="Segoe UI Semibold"/>
          <w:b/>
          <w:sz w:val="28"/>
        </w:rPr>
        <w:t>GOVERN - Database Change Governance</w:t>
      </w:r>
    </w:p>
    <w:p w14:paraId="7AA723EE" w14:textId="01C5E3AB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Değişiklik talebi, rol bazlı ve çok adımlı onay akışı</w:t>
      </w:r>
    </w:p>
    <w:p w14:paraId="00CB731B" w14:textId="0F89F4E8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Deployment öncesi 84+ kuralla otomatik validasyon ve 0-100 risk skoru</w:t>
      </w:r>
    </w:p>
    <w:p w14:paraId="231A39F6" w14:textId="4BCF8EE8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Sandbox doğrulama (çalıştır ve geri al)</w:t>
      </w:r>
    </w:p>
    <w:p w14:paraId="3FB58569" w14:textId="74A2F7A6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Release paketleri, otomatik rollback (Oracle atomiklik güvencesi), sürüm ve nesne geçmişi</w:t>
      </w:r>
    </w:p>
    <w:p w14:paraId="44381E8F" w14:textId="77777777" w:rsidR="00A265D5" w:rsidRDefault="00A265D5" w:rsidP="00A265D5">
      <w:pPr>
        <w:spacing w:after="60"/>
        <w:rPr>
          <w:rFonts w:cs="Segoe UI"/>
        </w:rPr>
      </w:pPr>
    </w:p>
    <w:p w14:paraId="6F32FAF9" w14:textId="11D30EA8" w:rsidR="00A265D5" w:rsidRDefault="00A265D5" w:rsidP="00A265D5">
      <w:pPr>
        <w:spacing w:before="200" w:after="80"/>
        <w:rPr>
          <w:rFonts w:ascii="Segoe UI Semibold" w:hAnsi="Segoe UI Semibold" w:cs="Segoe UI Semibold"/>
          <w:b/>
          <w:sz w:val="28"/>
        </w:rPr>
      </w:pPr>
      <w:r>
        <w:rPr>
          <w:rFonts w:ascii="Segoe UI Semibold" w:hAnsi="Segoe UI Semibold" w:cs="Segoe UI Semibold"/>
          <w:b/>
          <w:sz w:val="28"/>
        </w:rPr>
        <w:t>PROTECT - Production Query Governance</w:t>
      </w:r>
    </w:p>
    <w:p w14:paraId="5AD817C2" w14:textId="3884FA26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Production sorgu taleplerinin merkezi, policy tabanlı yönetimi</w:t>
      </w:r>
    </w:p>
    <w:p w14:paraId="44C35182" w14:textId="63EF7CB0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Kritik obje tespiti ve hassas veri için otomatik maskeleme (TC, kart, IBAN, telefon)</w:t>
      </w:r>
    </w:p>
    <w:p w14:paraId="16ED1884" w14:textId="3D1CBCD6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Maskesiz veri için ek güvenlik onayı, ilk kez kullanılan e-posta doğrulaması</w:t>
      </w:r>
    </w:p>
    <w:p w14:paraId="1CF9D20F" w14:textId="09FE70A1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Şifreli ZIP ile teslim, indirme gerekçesi ve indirme takibi</w:t>
      </w:r>
    </w:p>
    <w:p w14:paraId="3151A148" w14:textId="77777777" w:rsidR="00A265D5" w:rsidRDefault="00A265D5" w:rsidP="00A265D5">
      <w:pPr>
        <w:spacing w:after="60"/>
        <w:rPr>
          <w:rFonts w:cs="Segoe UI"/>
        </w:rPr>
      </w:pPr>
    </w:p>
    <w:p w14:paraId="0F7FC45E" w14:textId="296B7CD8" w:rsidR="00A265D5" w:rsidRDefault="00A265D5" w:rsidP="00A265D5">
      <w:pPr>
        <w:spacing w:before="120" w:after="40"/>
        <w:jc w:val="center"/>
        <w:rPr>
          <w:rFonts w:cs="Segoe UI"/>
        </w:rPr>
      </w:pPr>
      <w:r>
        <w:rPr>
          <w:rFonts w:cs="Segoe UI"/>
          <w:noProof/>
        </w:rPr>
        <w:lastRenderedPageBreak/>
        <w:drawing>
          <wp:inline distT="0" distB="0" distL="0" distR="0" wp14:anchorId="1BA13FC7" wp14:editId="6AE5D047">
            <wp:extent cx="5715000" cy="2815582"/>
            <wp:effectExtent l="19050" t="19050" r="19050" b="23495"/>
            <wp:docPr id="17863478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34785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15582"/>
                    </a:xfrm>
                    <a:prstGeom prst="rect">
                      <a:avLst/>
                    </a:prstGeom>
                    <a:ln w="9525">
                      <a:solidFill>
                        <a:srgbClr val="D2D9E2"/>
                      </a:solidFill>
                    </a:ln>
                  </pic:spPr>
                </pic:pic>
              </a:graphicData>
            </a:graphic>
          </wp:inline>
        </w:drawing>
      </w:r>
    </w:p>
    <w:p w14:paraId="77EF302B" w14:textId="2E17E4D2" w:rsidR="00A265D5" w:rsidRDefault="00A265D5" w:rsidP="00A265D5">
      <w:pPr>
        <w:spacing w:before="120" w:after="160"/>
        <w:jc w:val="center"/>
        <w:rPr>
          <w:rFonts w:cs="Segoe UI"/>
          <w:color w:val="5A697D"/>
          <w:sz w:val="18"/>
        </w:rPr>
      </w:pPr>
      <w:r>
        <w:rPr>
          <w:rFonts w:cs="Segoe UI"/>
          <w:color w:val="5A697D"/>
          <w:sz w:val="18"/>
        </w:rPr>
        <w:t>Sorgu Sonucu ve otomatik maskeleme - hassas kolonlar (TC, IBAN, Kart) maskelenir</w:t>
      </w:r>
    </w:p>
    <w:p w14:paraId="7EBE0E09" w14:textId="5C2D6EB9" w:rsidR="00A265D5" w:rsidRDefault="00A265D5" w:rsidP="00A265D5">
      <w:pPr>
        <w:spacing w:before="200" w:after="80"/>
        <w:rPr>
          <w:rFonts w:ascii="Segoe UI Semibold" w:hAnsi="Segoe UI Semibold" w:cs="Segoe UI Semibold"/>
          <w:b/>
          <w:sz w:val="28"/>
        </w:rPr>
      </w:pPr>
      <w:r>
        <w:rPr>
          <w:rFonts w:ascii="Segoe UI Semibold" w:hAnsi="Segoe UI Semibold" w:cs="Segoe UI Semibold"/>
          <w:b/>
          <w:sz w:val="28"/>
        </w:rPr>
        <w:t>COMPLY - Compliance and Audit</w:t>
      </w:r>
    </w:p>
    <w:p w14:paraId="7A5724D7" w14:textId="6DE9E611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Hash zinciri ile korunan, değiştirilemeyen audit kayıtları</w:t>
      </w:r>
    </w:p>
    <w:p w14:paraId="54924642" w14:textId="745F3BED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Onay, indirme ve çalıştırma geçmişi; denetim için kanıt paketleri</w:t>
      </w:r>
    </w:p>
    <w:p w14:paraId="60E40B4F" w14:textId="0D837A55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 w:rsidR="00D30975">
        <w:rPr>
          <w:rFonts w:cs="Segoe UI"/>
        </w:rPr>
        <w:t>30 hazır rapor</w:t>
      </w:r>
      <w:r>
        <w:rPr>
          <w:rFonts w:cs="Segoe UI"/>
        </w:rPr>
        <w:t xml:space="preserve"> (DML/DDL/DCL denetimi, kritik obje erişimi, yetki hareketleri, QR maskeleme)</w:t>
      </w:r>
    </w:p>
    <w:p w14:paraId="153E3C90" w14:textId="70D0A3DF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KVKK, ISO 27001, COBIT ve ITIL gereksinimlerine uyum</w:t>
      </w:r>
    </w:p>
    <w:p w14:paraId="16F5556C" w14:textId="77777777" w:rsidR="00A265D5" w:rsidRDefault="00A265D5" w:rsidP="00A265D5">
      <w:pPr>
        <w:spacing w:after="60"/>
        <w:rPr>
          <w:rFonts w:cs="Segoe UI"/>
        </w:rPr>
      </w:pPr>
    </w:p>
    <w:p w14:paraId="53F6DC39" w14:textId="406B5006" w:rsidR="00A265D5" w:rsidRDefault="00A265D5" w:rsidP="00A265D5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Neden SQL Change Guard?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5"/>
        <w:gridCol w:w="4835"/>
      </w:tblGrid>
      <w:tr w:rsidR="00A265D5" w:rsidRPr="00A265D5" w14:paraId="75B94171" w14:textId="77777777" w:rsidTr="00A265D5">
        <w:tc>
          <w:tcPr>
            <w:tcW w:w="4840" w:type="dxa"/>
            <w:shd w:val="clear" w:color="auto" w:fill="0F2544"/>
          </w:tcPr>
          <w:p w14:paraId="7CC835EB" w14:textId="7B8BE43C" w:rsidR="00A265D5" w:rsidRPr="00A265D5" w:rsidRDefault="00A265D5" w:rsidP="00A265D5">
            <w:pPr>
              <w:spacing w:before="280"/>
              <w:rPr>
                <w:rFonts w:cs="Segoe UI"/>
                <w:b/>
                <w:color w:val="F4F6FA"/>
                <w:sz w:val="20"/>
              </w:rPr>
            </w:pPr>
            <w:r w:rsidRPr="00A265D5">
              <w:rPr>
                <w:rFonts w:cs="Segoe UI"/>
                <w:b/>
                <w:color w:val="F4F6FA"/>
                <w:sz w:val="20"/>
              </w:rPr>
              <w:t>Değer</w:t>
            </w:r>
          </w:p>
        </w:tc>
        <w:tc>
          <w:tcPr>
            <w:tcW w:w="4840" w:type="dxa"/>
            <w:shd w:val="clear" w:color="auto" w:fill="0F2544"/>
          </w:tcPr>
          <w:p w14:paraId="27C96F22" w14:textId="40BFBA8C" w:rsidR="00A265D5" w:rsidRPr="00A265D5" w:rsidRDefault="00A265D5" w:rsidP="00A265D5">
            <w:pPr>
              <w:spacing w:before="280"/>
              <w:rPr>
                <w:rFonts w:cs="Segoe UI"/>
                <w:b/>
                <w:color w:val="F4F6FA"/>
                <w:sz w:val="20"/>
              </w:rPr>
            </w:pPr>
            <w:r w:rsidRPr="00A265D5">
              <w:rPr>
                <w:rFonts w:cs="Segoe UI"/>
                <w:b/>
                <w:color w:val="F4F6FA"/>
                <w:sz w:val="20"/>
              </w:rPr>
              <w:t>Ne Sağlar</w:t>
            </w:r>
          </w:p>
        </w:tc>
      </w:tr>
      <w:tr w:rsidR="00A265D5" w:rsidRPr="00A265D5" w14:paraId="0F55336C" w14:textId="77777777" w:rsidTr="00A265D5">
        <w:tc>
          <w:tcPr>
            <w:tcW w:w="4840" w:type="dxa"/>
            <w:tcBorders>
              <w:bottom w:val="single" w:sz="4" w:space="0" w:color="auto"/>
            </w:tcBorders>
          </w:tcPr>
          <w:p w14:paraId="5F1080F0" w14:textId="1664644E" w:rsidR="00A265D5" w:rsidRPr="00A265D5" w:rsidRDefault="00A265D5" w:rsidP="00A265D5">
            <w:pPr>
              <w:spacing w:before="280"/>
              <w:rPr>
                <w:rFonts w:cs="Segoe UI"/>
                <w:b/>
                <w:sz w:val="20"/>
              </w:rPr>
            </w:pPr>
            <w:r w:rsidRPr="00A265D5">
              <w:rPr>
                <w:rFonts w:cs="Segoe UI"/>
                <w:b/>
                <w:sz w:val="20"/>
              </w:rPr>
              <w:t>Tek platform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172F5ED1" w14:textId="2468B6D7" w:rsidR="00A265D5" w:rsidRPr="00A265D5" w:rsidRDefault="00A265D5" w:rsidP="00A265D5">
            <w:pPr>
              <w:spacing w:before="280"/>
              <w:rPr>
                <w:rFonts w:cs="Segoe UI"/>
                <w:b/>
                <w:sz w:val="20"/>
              </w:rPr>
            </w:pPr>
            <w:r w:rsidRPr="00A265D5">
              <w:rPr>
                <w:rFonts w:cs="Segoe UI"/>
                <w:b/>
                <w:sz w:val="20"/>
              </w:rPr>
              <w:t>Değişiklik, veri erişimi ve uyumluluk tek yerde</w:t>
            </w:r>
          </w:p>
        </w:tc>
      </w:tr>
      <w:tr w:rsidR="00A265D5" w:rsidRPr="00A265D5" w14:paraId="278A124F" w14:textId="77777777" w:rsidTr="00A265D5">
        <w:tc>
          <w:tcPr>
            <w:tcW w:w="4840" w:type="dxa"/>
            <w:shd w:val="clear" w:color="auto" w:fill="F0F4FA"/>
          </w:tcPr>
          <w:p w14:paraId="52A27240" w14:textId="603B19EA" w:rsidR="00A265D5" w:rsidRPr="00A265D5" w:rsidRDefault="00A265D5" w:rsidP="00A265D5">
            <w:pPr>
              <w:spacing w:before="280"/>
              <w:rPr>
                <w:rFonts w:cs="Segoe UI"/>
                <w:b/>
                <w:sz w:val="20"/>
              </w:rPr>
            </w:pPr>
            <w:r w:rsidRPr="00A265D5">
              <w:rPr>
                <w:rFonts w:cs="Segoe UI"/>
                <w:b/>
                <w:sz w:val="20"/>
              </w:rPr>
              <w:t>Üç veritabanı</w:t>
            </w:r>
          </w:p>
        </w:tc>
        <w:tc>
          <w:tcPr>
            <w:tcW w:w="4840" w:type="dxa"/>
            <w:shd w:val="clear" w:color="auto" w:fill="F0F4FA"/>
          </w:tcPr>
          <w:p w14:paraId="3D05EE0C" w14:textId="565E0E9B" w:rsidR="00A265D5" w:rsidRPr="00A265D5" w:rsidRDefault="00A265D5" w:rsidP="00A265D5">
            <w:pPr>
              <w:spacing w:before="280"/>
              <w:rPr>
                <w:rFonts w:cs="Segoe UI"/>
                <w:b/>
                <w:sz w:val="20"/>
              </w:rPr>
            </w:pPr>
            <w:r w:rsidRPr="00A265D5">
              <w:rPr>
                <w:rFonts w:cs="Segoe UI"/>
                <w:b/>
                <w:sz w:val="20"/>
              </w:rPr>
              <w:t>SQL Server, PostgreSQL, Oracle aynı yönetişim modeli</w:t>
            </w:r>
          </w:p>
        </w:tc>
      </w:tr>
      <w:tr w:rsidR="00A265D5" w:rsidRPr="00A265D5" w14:paraId="709745E7" w14:textId="77777777" w:rsidTr="00A265D5">
        <w:tc>
          <w:tcPr>
            <w:tcW w:w="4840" w:type="dxa"/>
            <w:tcBorders>
              <w:bottom w:val="single" w:sz="4" w:space="0" w:color="auto"/>
            </w:tcBorders>
          </w:tcPr>
          <w:p w14:paraId="76ED3344" w14:textId="71634006" w:rsidR="00A265D5" w:rsidRPr="00A265D5" w:rsidRDefault="00A265D5" w:rsidP="00A265D5">
            <w:pPr>
              <w:spacing w:before="280"/>
              <w:rPr>
                <w:rFonts w:cs="Segoe UI"/>
                <w:b/>
                <w:sz w:val="20"/>
              </w:rPr>
            </w:pPr>
            <w:r w:rsidRPr="00A265D5">
              <w:rPr>
                <w:rFonts w:cs="Segoe UI"/>
                <w:b/>
                <w:sz w:val="20"/>
              </w:rPr>
              <w:t>Farklılaşma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04D4BE5A" w14:textId="079C1FB8" w:rsidR="00A265D5" w:rsidRPr="00A265D5" w:rsidRDefault="00A265D5" w:rsidP="00A265D5">
            <w:pPr>
              <w:spacing w:before="280"/>
              <w:rPr>
                <w:rFonts w:cs="Segoe UI"/>
                <w:b/>
                <w:sz w:val="20"/>
              </w:rPr>
            </w:pPr>
            <w:r w:rsidRPr="00A265D5">
              <w:rPr>
                <w:rFonts w:cs="Segoe UI"/>
                <w:b/>
                <w:sz w:val="20"/>
              </w:rPr>
              <w:t>Production veri erişimi ve maskeleme katmanı (migration araçlarının ötesinde)</w:t>
            </w:r>
          </w:p>
        </w:tc>
      </w:tr>
      <w:tr w:rsidR="00A265D5" w:rsidRPr="00A265D5" w14:paraId="1651751E" w14:textId="77777777" w:rsidTr="00A265D5">
        <w:tc>
          <w:tcPr>
            <w:tcW w:w="4840" w:type="dxa"/>
            <w:shd w:val="clear" w:color="auto" w:fill="F0F4FA"/>
          </w:tcPr>
          <w:p w14:paraId="7661AC7F" w14:textId="0B797AF0" w:rsidR="00A265D5" w:rsidRPr="00A265D5" w:rsidRDefault="00A265D5" w:rsidP="00A265D5">
            <w:pPr>
              <w:spacing w:before="280"/>
              <w:rPr>
                <w:rFonts w:cs="Segoe UI"/>
                <w:b/>
                <w:sz w:val="20"/>
              </w:rPr>
            </w:pPr>
            <w:r w:rsidRPr="00A265D5">
              <w:rPr>
                <w:rFonts w:cs="Segoe UI"/>
                <w:b/>
                <w:sz w:val="20"/>
              </w:rPr>
              <w:t>On-premise</w:t>
            </w:r>
          </w:p>
        </w:tc>
        <w:tc>
          <w:tcPr>
            <w:tcW w:w="4840" w:type="dxa"/>
            <w:shd w:val="clear" w:color="auto" w:fill="F0F4FA"/>
          </w:tcPr>
          <w:p w14:paraId="1C236E76" w14:textId="4E6DF94A" w:rsidR="00A265D5" w:rsidRPr="00A265D5" w:rsidRDefault="00A265D5" w:rsidP="00A265D5">
            <w:pPr>
              <w:spacing w:before="280"/>
              <w:rPr>
                <w:rFonts w:cs="Segoe UI"/>
                <w:b/>
                <w:sz w:val="20"/>
              </w:rPr>
            </w:pPr>
            <w:r w:rsidRPr="00A265D5">
              <w:rPr>
                <w:rFonts w:cs="Segoe UI"/>
                <w:b/>
                <w:sz w:val="20"/>
              </w:rPr>
              <w:t>Kurum ağı dışına veri çıkmaz, internet gerekmez</w:t>
            </w:r>
          </w:p>
        </w:tc>
      </w:tr>
      <w:tr w:rsidR="00A265D5" w:rsidRPr="00A265D5" w14:paraId="35C9032F" w14:textId="77777777" w:rsidTr="00A265D5">
        <w:tc>
          <w:tcPr>
            <w:tcW w:w="4840" w:type="dxa"/>
          </w:tcPr>
          <w:p w14:paraId="4E06C7FB" w14:textId="6C017D3F" w:rsidR="00A265D5" w:rsidRPr="00A265D5" w:rsidRDefault="00A265D5" w:rsidP="00A265D5">
            <w:pPr>
              <w:spacing w:before="280"/>
              <w:rPr>
                <w:rFonts w:cs="Segoe UI"/>
                <w:b/>
                <w:sz w:val="20"/>
              </w:rPr>
            </w:pPr>
            <w:r w:rsidRPr="00A265D5">
              <w:rPr>
                <w:rFonts w:cs="Segoe UI"/>
                <w:b/>
                <w:sz w:val="20"/>
              </w:rPr>
              <w:t>Denetime hazır</w:t>
            </w:r>
          </w:p>
        </w:tc>
        <w:tc>
          <w:tcPr>
            <w:tcW w:w="4840" w:type="dxa"/>
          </w:tcPr>
          <w:p w14:paraId="7532B7FB" w14:textId="102ED346" w:rsidR="00A265D5" w:rsidRPr="00A265D5" w:rsidRDefault="00A265D5" w:rsidP="00A265D5">
            <w:pPr>
              <w:spacing w:before="280"/>
              <w:rPr>
                <w:rFonts w:cs="Segoe UI"/>
                <w:b/>
                <w:sz w:val="20"/>
              </w:rPr>
            </w:pPr>
            <w:r w:rsidRPr="00A265D5">
              <w:rPr>
                <w:rFonts w:cs="Segoe UI"/>
                <w:b/>
                <w:sz w:val="20"/>
              </w:rPr>
              <w:t>Bankacılık ve kurumsal denetim kanıtları otomatik</w:t>
            </w:r>
          </w:p>
        </w:tc>
      </w:tr>
    </w:tbl>
    <w:p w14:paraId="7515418F" w14:textId="77777777" w:rsidR="00A265D5" w:rsidRDefault="00A265D5" w:rsidP="00A265D5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</w:p>
    <w:p w14:paraId="18C21FE3" w14:textId="6A4DF3BF" w:rsidR="00A265D5" w:rsidRDefault="00A265D5" w:rsidP="00A265D5">
      <w:pPr>
        <w:spacing w:before="160" w:after="160"/>
        <w:ind w:left="160"/>
        <w:rPr>
          <w:rFonts w:cs="Segoe UI"/>
          <w:b/>
          <w:color w:val="0F2544"/>
        </w:rPr>
      </w:pPr>
      <w:r>
        <w:rPr>
          <w:rFonts w:cs="Segoe UI"/>
          <w:b/>
          <w:color w:val="0F2544"/>
        </w:rPr>
        <w:t>Güvenlik yalnızca canlıya neyin çıktığıyla değil, canlıdan hangi verinin çıktığıyla da ilgilidir.</w:t>
      </w:r>
    </w:p>
    <w:p w14:paraId="73B9CB97" w14:textId="39C456D8" w:rsidR="00A265D5" w:rsidRDefault="00A265D5" w:rsidP="00A265D5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İletişim</w:t>
      </w:r>
    </w:p>
    <w:p w14:paraId="264B2B1A" w14:textId="0E654990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Web: www.sqlchangeguard.com</w:t>
      </w:r>
    </w:p>
    <w:p w14:paraId="16DF46B7" w14:textId="752C6CB9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E-posta: onur.egilmez@sqlchangeguard.com  |  info@sqlchangeguard.com</w:t>
      </w:r>
    </w:p>
    <w:p w14:paraId="61992A4F" w14:textId="282A0D8F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Telefon: 0505 621 29 02</w:t>
      </w:r>
    </w:p>
    <w:p w14:paraId="4F9EB26A" w14:textId="352B2259" w:rsidR="00A265D5" w:rsidRDefault="00A265D5" w:rsidP="00A265D5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LinkedIn: linkedin.com/company/sqlchangeguard</w:t>
      </w:r>
    </w:p>
    <w:p w14:paraId="49BA6229" w14:textId="77777777" w:rsidR="00A265D5" w:rsidRDefault="00A265D5" w:rsidP="00A265D5">
      <w:pPr>
        <w:spacing w:after="60"/>
        <w:rPr>
          <w:rFonts w:cs="Segoe UI"/>
        </w:rPr>
      </w:pPr>
    </w:p>
    <w:p w14:paraId="5C9CCB2D" w14:textId="77777777" w:rsidR="00A265D5" w:rsidRPr="00A265D5" w:rsidRDefault="00A265D5" w:rsidP="00A265D5">
      <w:pPr>
        <w:spacing w:after="60"/>
        <w:rPr>
          <w:rFonts w:cs="Segoe UI"/>
        </w:rPr>
      </w:pPr>
    </w:p>
    <w:sectPr w:rsidR="00A265D5" w:rsidRPr="00A265D5" w:rsidSect="00A265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00" w:right="1280" w:bottom="1200" w:left="12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62A89" w14:textId="77777777" w:rsidR="0054559A" w:rsidRDefault="0054559A" w:rsidP="00A265D5">
      <w:pPr>
        <w:spacing w:after="0"/>
      </w:pPr>
      <w:r>
        <w:separator/>
      </w:r>
    </w:p>
  </w:endnote>
  <w:endnote w:type="continuationSeparator" w:id="0">
    <w:p w14:paraId="501DEBD1" w14:textId="77777777" w:rsidR="0054559A" w:rsidRDefault="0054559A" w:rsidP="00A265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2124" w14:textId="77777777" w:rsidR="00A265D5" w:rsidRDefault="00A265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2A39" w14:textId="508A7636" w:rsidR="00A265D5" w:rsidRPr="00A265D5" w:rsidRDefault="00A265D5" w:rsidP="00A265D5">
    <w:pPr>
      <w:pStyle w:val="Footer"/>
      <w:jc w:val="center"/>
      <w:rPr>
        <w:rFonts w:cs="Segoe UI"/>
        <w:color w:val="5A697D"/>
        <w:sz w:val="16"/>
      </w:rPr>
    </w:pPr>
    <w:r>
      <w:rPr>
        <w:rFonts w:cs="Segoe UI"/>
        <w:color w:val="5A697D"/>
        <w:sz w:val="16"/>
      </w:rPr>
      <w:t>SQL Change Guard  |  Database Operations Governance Platform  |  sqlchangeguard.com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99F0" w14:textId="77777777" w:rsidR="00A265D5" w:rsidRDefault="00A26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4A6A2" w14:textId="77777777" w:rsidR="0054559A" w:rsidRDefault="0054559A" w:rsidP="00A265D5">
      <w:pPr>
        <w:spacing w:after="0"/>
      </w:pPr>
      <w:r>
        <w:separator/>
      </w:r>
    </w:p>
  </w:footnote>
  <w:footnote w:type="continuationSeparator" w:id="0">
    <w:p w14:paraId="4A56629C" w14:textId="77777777" w:rsidR="0054559A" w:rsidRDefault="0054559A" w:rsidP="00A265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37F0" w14:textId="77777777" w:rsidR="00A265D5" w:rsidRDefault="00A26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0388" w14:textId="77777777" w:rsidR="00A265D5" w:rsidRDefault="00A265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7083" w14:textId="77777777" w:rsidR="00A265D5" w:rsidRDefault="00A265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D5"/>
    <w:rsid w:val="000279E4"/>
    <w:rsid w:val="0026297B"/>
    <w:rsid w:val="003D4FD6"/>
    <w:rsid w:val="00511DDA"/>
    <w:rsid w:val="0054559A"/>
    <w:rsid w:val="006F2242"/>
    <w:rsid w:val="007F0E99"/>
    <w:rsid w:val="00A265D5"/>
    <w:rsid w:val="00B84306"/>
    <w:rsid w:val="00BA57F3"/>
    <w:rsid w:val="00D3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CDB76"/>
  <w15:chartTrackingRefBased/>
  <w15:docId w15:val="{7CFB13FF-11E1-4CD1-A010-C91133F1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uto"/>
    </w:pPr>
    <w:rPr>
      <w:rFonts w:ascii="Segoe UI" w:hAnsi="Segoe UI"/>
      <w:color w:val="1E293B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5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5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5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5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5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5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5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5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5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5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5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5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5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5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5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5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5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5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65D5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265D5"/>
    <w:rPr>
      <w:rFonts w:ascii="Segoe UI" w:hAnsi="Segoe UI"/>
      <w:color w:val="1E293B"/>
      <w:sz w:val="22"/>
    </w:rPr>
  </w:style>
  <w:style w:type="paragraph" w:styleId="Footer">
    <w:name w:val="footer"/>
    <w:basedOn w:val="Normal"/>
    <w:link w:val="FooterChar"/>
    <w:uiPriority w:val="99"/>
    <w:unhideWhenUsed/>
    <w:rsid w:val="00A265D5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265D5"/>
    <w:rPr>
      <w:rFonts w:ascii="Segoe UI" w:hAnsi="Segoe UI"/>
      <w:color w:val="1E293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eğilmez</dc:creator>
  <cp:keywords/>
  <dc:description/>
  <cp:lastModifiedBy>onur eğilmez</cp:lastModifiedBy>
  <cp:revision>2</cp:revision>
  <dcterms:created xsi:type="dcterms:W3CDTF">2026-07-13T19:32:00Z</dcterms:created>
  <dcterms:modified xsi:type="dcterms:W3CDTF">2026-08-03T12:05:00Z</dcterms:modified>
</cp:coreProperties>
</file>