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BB660" w14:textId="77777777" w:rsidR="007F0E99" w:rsidRDefault="007F0E99"/>
    <w:p w14:paraId="26440458" w14:textId="77777777" w:rsidR="00A265D5" w:rsidRDefault="00A265D5"/>
    <w:p w14:paraId="0F551FBF" w14:textId="77777777" w:rsidR="00A265D5" w:rsidRDefault="00A265D5"/>
    <w:p w14:paraId="1D65B8D9" w14:textId="77777777" w:rsidR="00A265D5" w:rsidRDefault="00A265D5"/>
    <w:p w14:paraId="29A7B48D" w14:textId="21C6419E" w:rsidR="00A265D5" w:rsidRDefault="00A265D5" w:rsidP="00A265D5">
      <w:pPr>
        <w:jc w:val="center"/>
        <w:rPr>
          <w:rFonts w:ascii="Segoe UI Semibold" w:hAnsi="Segoe UI Semibold"/>
          <w:b/>
          <w:color w:val="0F2544"/>
          <w:sz w:val="68"/>
        </w:rPr>
      </w:pPr>
      <w:r>
        <w:rPr>
          <w:rFonts w:ascii="Segoe UI Semibold" w:hAnsi="Segoe UI Semibold"/>
          <w:b/>
          <w:color w:val="0F2544"/>
          <w:sz w:val="68"/>
        </w:rPr>
        <w:t>SQL Change Guard</w:t>
      </w:r>
    </w:p>
    <w:p w14:paraId="419B7168" w14:textId="035A773B" w:rsidR="00A265D5" w:rsidRDefault="00A265D5" w:rsidP="00A265D5">
      <w:pPr>
        <w:spacing w:after="80"/>
        <w:jc w:val="center"/>
        <w:rPr>
          <w:rFonts w:cs="Segoe UI"/>
          <w:sz w:val="32"/>
        </w:rPr>
      </w:pPr>
      <w:r>
        <w:rPr>
          <w:rFonts w:cs="Segoe UI"/>
          <w:sz w:val="32"/>
        </w:rPr>
        <w:t>Veritabanı Operasyonları Yönetişim Platformu</w:t>
      </w:r>
    </w:p>
    <w:p w14:paraId="57B50096" w14:textId="55E4541B" w:rsidR="00A265D5" w:rsidRDefault="00A265D5" w:rsidP="00A265D5">
      <w:pPr>
        <w:spacing w:after="80"/>
        <w:jc w:val="center"/>
        <w:rPr>
          <w:rFonts w:ascii="Arial" w:hAnsi="Arial" w:cs="Arial"/>
          <w:color w:val="0F2544"/>
          <w:sz w:val="24"/>
        </w:rPr>
      </w:pPr>
      <w:r>
        <w:rPr>
          <w:rFonts w:ascii="Arial" w:hAnsi="Arial" w:cs="Arial"/>
          <w:color w:val="0F2544"/>
          <w:sz w:val="24"/>
        </w:rPr>
        <w:t>────────────────────────</w:t>
      </w:r>
    </w:p>
    <w:p w14:paraId="21F546F1" w14:textId="59AF58A7" w:rsidR="00A265D5" w:rsidRDefault="00A265D5" w:rsidP="00A265D5">
      <w:pPr>
        <w:spacing w:before="120" w:after="80"/>
        <w:jc w:val="center"/>
        <w:rPr>
          <w:rFonts w:cs="Segoe UI"/>
          <w:color w:val="5A697D"/>
          <w:sz w:val="24"/>
        </w:rPr>
      </w:pPr>
      <w:r>
        <w:rPr>
          <w:rFonts w:cs="Segoe UI"/>
          <w:color w:val="5A697D"/>
          <w:sz w:val="24"/>
        </w:rPr>
        <w:t>Her Veritabanı Değişikliğini Yönetin. Her Production Veri Erişimini Koruyun.</w:t>
      </w:r>
    </w:p>
    <w:p w14:paraId="1D3FAAFB" w14:textId="2E8F1416" w:rsidR="00A265D5" w:rsidRDefault="00A265D5" w:rsidP="00A265D5">
      <w:pPr>
        <w:spacing w:before="480" w:after="0"/>
        <w:jc w:val="center"/>
        <w:rPr>
          <w:rFonts w:cs="Segoe UI"/>
          <w:color w:val="5A697D"/>
          <w:sz w:val="20"/>
        </w:rPr>
      </w:pPr>
      <w:r>
        <w:rPr>
          <w:rFonts w:cs="Segoe UI"/>
          <w:color w:val="5A697D"/>
          <w:sz w:val="20"/>
        </w:rPr>
        <w:t>Tek Sayfa Özet  |  SQL Server  |  PostgreSQL  |  Oracle</w:t>
      </w:r>
    </w:p>
    <w:p w14:paraId="6D41D47C" w14:textId="118194C2" w:rsidR="00A265D5" w:rsidRDefault="00A265D5">
      <w:pPr>
        <w:spacing w:after="160" w:line="278" w:lineRule="auto"/>
        <w:rPr>
          <w:rFonts w:cs="Segoe UI"/>
          <w:color w:val="5A697D"/>
          <w:sz w:val="20"/>
        </w:rPr>
      </w:pPr>
      <w:r>
        <w:rPr>
          <w:rFonts w:cs="Segoe UI"/>
          <w:color w:val="5A697D"/>
          <w:sz w:val="20"/>
        </w:rPr>
        <w:br w:type="page"/>
      </w:r>
    </w:p>
    <w:p w14:paraId="333485C2" w14:textId="00FC2E8F" w:rsidR="00A265D5" w:rsidRDefault="00A265D5" w:rsidP="00A265D5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lastRenderedPageBreak/>
        <w:t>Çözdüğümüz Problem</w:t>
      </w:r>
    </w:p>
    <w:p w14:paraId="4D650203" w14:textId="3D800559" w:rsidR="00A265D5" w:rsidRDefault="00A265D5" w:rsidP="00A265D5">
      <w:pPr>
        <w:spacing w:after="160"/>
        <w:rPr>
          <w:rFonts w:cs="Segoe UI"/>
          <w:color w:val="5A697D"/>
          <w:sz w:val="25"/>
        </w:rPr>
      </w:pPr>
      <w:r>
        <w:rPr>
          <w:rFonts w:cs="Segoe UI"/>
          <w:color w:val="5A697D"/>
          <w:sz w:val="25"/>
        </w:rPr>
        <w:t>Kurumlarda veritabanı operasyonları hâlâ üç ayrı yerde, çoğunlukla manuel yürütülür: değişiklik dağıtımı, production veri talepleri ve denetim. Sonuç: kim onayladı, kim çalıştırdı, hangi veri dışarı çıktı, maskelendi mi, denetimde nasıl ispat edeceğiz sorularının cevapsız kalması.</w:t>
      </w:r>
    </w:p>
    <w:p w14:paraId="5EFFE5C0" w14:textId="7F994528" w:rsidR="00A265D5" w:rsidRDefault="006A02F4" w:rsidP="00A265D5">
      <w:pPr>
        <w:rPr>
          <w:rFonts w:cs="Segoe UI"/>
        </w:rPr>
      </w:pPr>
      <w:r>
        <w:rPr>
          <w:rFonts w:cs="Segoe UI"/>
        </w:rPr>
        <w:t>SQL Change Guard bu üç alanı tek platformda, policy tabanlı ve uçtan uca denetlenebilir hâle getirir. Ürün kendi üzerinden yapılan işlemleri yönetir; canlı veritabanı trafiğini dinlemez ve ürün dışında yapılan işlemleri engellemez.</w:t>
      </w:r>
    </w:p>
    <w:p w14:paraId="7B744517" w14:textId="209EFE25" w:rsidR="00A265D5" w:rsidRDefault="00A265D5" w:rsidP="00A265D5">
      <w:pPr>
        <w:spacing w:before="120" w:after="40"/>
        <w:jc w:val="center"/>
        <w:rPr>
          <w:rFonts w:cs="Segoe UI"/>
        </w:rPr>
      </w:pPr>
      <w:r>
        <w:rPr>
          <w:rFonts w:cs="Segoe UI"/>
          <w:noProof/>
        </w:rPr>
        <w:drawing>
          <wp:inline distT="0" distB="0" distL="0" distR="0" wp14:anchorId="0E889721" wp14:editId="0D742BC2">
            <wp:extent cx="5715000" cy="2822667"/>
            <wp:effectExtent l="19050" t="19050" r="19050" b="15875"/>
            <wp:docPr id="1440262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26239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22667"/>
                    </a:xfrm>
                    <a:prstGeom prst="rect">
                      <a:avLst/>
                    </a:prstGeom>
                    <a:ln w="9525">
                      <a:solidFill>
                        <a:srgbClr val="D2D9E2"/>
                      </a:solidFill>
                    </a:ln>
                  </pic:spPr>
                </pic:pic>
              </a:graphicData>
            </a:graphic>
          </wp:inline>
        </w:drawing>
      </w:r>
    </w:p>
    <w:p w14:paraId="67B5F538" w14:textId="4A8D5FC7" w:rsidR="00A265D5" w:rsidRDefault="00A265D5" w:rsidP="00A265D5">
      <w:pPr>
        <w:spacing w:before="120" w:after="160"/>
        <w:jc w:val="center"/>
        <w:rPr>
          <w:rFonts w:cs="Segoe UI"/>
          <w:color w:val="5A697D"/>
          <w:sz w:val="18"/>
        </w:rPr>
      </w:pPr>
      <w:r>
        <w:rPr>
          <w:rFonts w:cs="Segoe UI"/>
          <w:color w:val="5A697D"/>
          <w:sz w:val="18"/>
        </w:rPr>
        <w:t>Kontrol Paneli - bekleyen onaylar, risk dağılımı ve sistem durumu</w:t>
      </w:r>
    </w:p>
    <w:p w14:paraId="1717CA38" w14:textId="06B577BA" w:rsidR="00A265D5" w:rsidRDefault="00A265D5" w:rsidP="00A265D5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Üç Yönetişim Katmanı</w:t>
      </w:r>
    </w:p>
    <w:p w14:paraId="033BA7D2" w14:textId="22A1E71A" w:rsidR="00A265D5" w:rsidRDefault="00A265D5" w:rsidP="00A265D5">
      <w:pPr>
        <w:spacing w:before="200" w:after="80"/>
        <w:rPr>
          <w:rFonts w:ascii="Segoe UI Semibold" w:hAnsi="Segoe UI Semibold" w:cs="Segoe UI Semibold"/>
          <w:b/>
          <w:sz w:val="28"/>
        </w:rPr>
      </w:pPr>
      <w:r>
        <w:rPr>
          <w:rFonts w:ascii="Segoe UI Semibold" w:hAnsi="Segoe UI Semibold" w:cs="Segoe UI Semibold"/>
          <w:b/>
          <w:sz w:val="28"/>
        </w:rPr>
        <w:t>GOVERN - Database Change Governance</w:t>
      </w:r>
    </w:p>
    <w:p w14:paraId="7AA723EE" w14:textId="01C5E3AB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Değişiklik talebi, rol bazlı ve çok adımlı onay akışı</w:t>
      </w:r>
    </w:p>
    <w:p w14:paraId="00CB731B" w14:textId="11F4F489" w:rsidR="00A265D5" w:rsidRDefault="006A02F4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Deployment öncesi 88 SQL standardıyla otomatik validasyon ve beş kademeli risk bandı (en yüksek bulgu bandı belirler)</w:t>
      </w:r>
    </w:p>
    <w:p w14:paraId="231A39F6" w14:textId="4BCF8EE8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Sandbox doğrulama (çalıştır ve geri al)</w:t>
      </w:r>
    </w:p>
    <w:p w14:paraId="3FB58569" w14:textId="656D4282" w:rsidR="00A265D5" w:rsidRDefault="006A02F4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Release paketleri, nesne değişiklikleri için geri alma betiği üretimi (Oracle'da örtük COMMIT yapan değişikliklerde geri alma planı zorunlu), nesne geçmişi</w:t>
      </w:r>
    </w:p>
    <w:p w14:paraId="44381E8F" w14:textId="77777777" w:rsidR="00A265D5" w:rsidRDefault="00A265D5" w:rsidP="00A265D5">
      <w:pPr>
        <w:spacing w:after="60"/>
        <w:rPr>
          <w:rFonts w:cs="Segoe UI"/>
        </w:rPr>
      </w:pPr>
    </w:p>
    <w:p w14:paraId="6F32FAF9" w14:textId="11D30EA8" w:rsidR="00A265D5" w:rsidRDefault="00A265D5" w:rsidP="00A265D5">
      <w:pPr>
        <w:spacing w:before="200" w:after="80"/>
        <w:rPr>
          <w:rFonts w:ascii="Segoe UI Semibold" w:hAnsi="Segoe UI Semibold" w:cs="Segoe UI Semibold"/>
          <w:b/>
          <w:sz w:val="28"/>
        </w:rPr>
      </w:pPr>
      <w:r>
        <w:rPr>
          <w:rFonts w:ascii="Segoe UI Semibold" w:hAnsi="Segoe UI Semibold" w:cs="Segoe UI Semibold"/>
          <w:b/>
          <w:sz w:val="28"/>
        </w:rPr>
        <w:t>PROTECT - Production Query Governance</w:t>
      </w:r>
    </w:p>
    <w:p w14:paraId="5AD817C2" w14:textId="3884FA26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Production sorgu taleplerinin merkezi, policy tabanlı yönetimi</w:t>
      </w:r>
    </w:p>
    <w:p w14:paraId="44C35182" w14:textId="63EF7CB0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Kritik obje tespiti ve hassas veri için otomatik maskeleme (TC, kart, IBAN, telefon)</w:t>
      </w:r>
    </w:p>
    <w:p w14:paraId="16ED1884" w14:textId="51FC96A6" w:rsidR="00A265D5" w:rsidRDefault="006A02F4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Maskesiz veri için ek güvenlik onayı, ilk kez kullanılan e-posta adresi için onay</w:t>
      </w:r>
    </w:p>
    <w:p w14:paraId="1CF9D20F" w14:textId="09FE70A1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lastRenderedPageBreak/>
        <w:t xml:space="preserve">▪  </w:t>
      </w:r>
      <w:r>
        <w:rPr>
          <w:rFonts w:cs="Segoe UI"/>
        </w:rPr>
        <w:t>Şifreli ZIP ile teslim, indirme gerekçesi ve indirme takibi</w:t>
      </w:r>
    </w:p>
    <w:p w14:paraId="3151A148" w14:textId="77777777" w:rsidR="00A265D5" w:rsidRDefault="00A265D5" w:rsidP="00A265D5">
      <w:pPr>
        <w:spacing w:after="60"/>
        <w:rPr>
          <w:rFonts w:cs="Segoe UI"/>
        </w:rPr>
      </w:pPr>
    </w:p>
    <w:p w14:paraId="0F7FC45E" w14:textId="296B7CD8" w:rsidR="00A265D5" w:rsidRDefault="00A265D5" w:rsidP="00A265D5">
      <w:pPr>
        <w:spacing w:before="120" w:after="40"/>
        <w:jc w:val="center"/>
        <w:rPr>
          <w:rFonts w:cs="Segoe UI"/>
        </w:rPr>
      </w:pPr>
      <w:r>
        <w:rPr>
          <w:rFonts w:cs="Segoe UI"/>
          <w:noProof/>
        </w:rPr>
        <w:drawing>
          <wp:inline distT="0" distB="0" distL="0" distR="0" wp14:anchorId="1BA13FC7" wp14:editId="6AE5D047">
            <wp:extent cx="5715000" cy="2815582"/>
            <wp:effectExtent l="19050" t="19050" r="19050" b="23495"/>
            <wp:docPr id="17863478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34785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15582"/>
                    </a:xfrm>
                    <a:prstGeom prst="rect">
                      <a:avLst/>
                    </a:prstGeom>
                    <a:ln w="9525">
                      <a:solidFill>
                        <a:srgbClr val="D2D9E2"/>
                      </a:solidFill>
                    </a:ln>
                  </pic:spPr>
                </pic:pic>
              </a:graphicData>
            </a:graphic>
          </wp:inline>
        </w:drawing>
      </w:r>
    </w:p>
    <w:p w14:paraId="77EF302B" w14:textId="2E17E4D2" w:rsidR="00A265D5" w:rsidRDefault="00A265D5" w:rsidP="00A265D5">
      <w:pPr>
        <w:spacing w:before="120" w:after="160"/>
        <w:jc w:val="center"/>
        <w:rPr>
          <w:rFonts w:cs="Segoe UI"/>
          <w:color w:val="5A697D"/>
          <w:sz w:val="18"/>
        </w:rPr>
      </w:pPr>
      <w:r>
        <w:rPr>
          <w:rFonts w:cs="Segoe UI"/>
          <w:color w:val="5A697D"/>
          <w:sz w:val="18"/>
        </w:rPr>
        <w:t>Sorgu Sonucu ve otomatik maskeleme - hassas kolonlar (TC, IBAN, Kart) maskelenir</w:t>
      </w:r>
    </w:p>
    <w:p w14:paraId="7EBE0E09" w14:textId="5C2D6EB9" w:rsidR="00A265D5" w:rsidRDefault="00A265D5" w:rsidP="00A265D5">
      <w:pPr>
        <w:spacing w:before="200" w:after="80"/>
        <w:rPr>
          <w:rFonts w:ascii="Segoe UI Semibold" w:hAnsi="Segoe UI Semibold" w:cs="Segoe UI Semibold"/>
          <w:b/>
          <w:sz w:val="28"/>
        </w:rPr>
      </w:pPr>
      <w:r>
        <w:rPr>
          <w:rFonts w:ascii="Segoe UI Semibold" w:hAnsi="Segoe UI Semibold" w:cs="Segoe UI Semibold"/>
          <w:b/>
          <w:sz w:val="28"/>
        </w:rPr>
        <w:t>COMPLY - Compliance and Audit</w:t>
      </w:r>
    </w:p>
    <w:p w14:paraId="7A5724D7" w14:textId="592D0A2D" w:rsidR="00A265D5" w:rsidRDefault="006A02F4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SQL Server append-only defter tablosunda tutulan audit kayıtları; veritabanı motoru bu tabloda UPDATE ve DELETE işlemlerini reddeder</w:t>
      </w:r>
    </w:p>
    <w:p w14:paraId="54924642" w14:textId="745F3BED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Onay, indirme ve çalıştırma geçmişi; denetim için kanıt paketleri</w:t>
      </w:r>
    </w:p>
    <w:p w14:paraId="60E40B4F" w14:textId="165E3FA5" w:rsidR="00A265D5" w:rsidRDefault="006A02F4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34 hazır rapor (DML/DDL/DCL denetimi, kritik obje erişimi, yetki hareketleri, QR maskeleme)</w:t>
      </w:r>
    </w:p>
    <w:p w14:paraId="153E3C90" w14:textId="2C4BE033" w:rsidR="00A265D5" w:rsidRDefault="006A02F4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KVKK, ISO 27001, COBIT ve ITIL kontrol beklentilerine katkı sağlayan kayıt ve kanıtlar</w:t>
      </w:r>
    </w:p>
    <w:p w14:paraId="16F5556C" w14:textId="77777777" w:rsidR="00A265D5" w:rsidRDefault="00A265D5" w:rsidP="00A265D5">
      <w:pPr>
        <w:spacing w:after="60"/>
        <w:rPr>
          <w:rFonts w:cs="Segoe UI"/>
        </w:rPr>
      </w:pPr>
    </w:p>
    <w:p w14:paraId="53F6DC39" w14:textId="406B5006" w:rsidR="00A265D5" w:rsidRDefault="00A265D5" w:rsidP="00A265D5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Neden SQL Change Guard?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5"/>
        <w:gridCol w:w="4835"/>
      </w:tblGrid>
      <w:tr w:rsidR="00A265D5" w:rsidRPr="00A265D5" w14:paraId="75B94171" w14:textId="77777777" w:rsidTr="00A265D5">
        <w:tc>
          <w:tcPr>
            <w:tcW w:w="4840" w:type="dxa"/>
            <w:shd w:val="clear" w:color="auto" w:fill="0F2544"/>
          </w:tcPr>
          <w:p w14:paraId="7CC835EB" w14:textId="7B8BE43C" w:rsidR="00A265D5" w:rsidRPr="00A265D5" w:rsidRDefault="00A265D5" w:rsidP="00A265D5">
            <w:pPr>
              <w:spacing w:before="280"/>
              <w:rPr>
                <w:rFonts w:cs="Segoe UI"/>
                <w:b/>
                <w:color w:val="F4F6FA"/>
                <w:sz w:val="20"/>
              </w:rPr>
            </w:pPr>
            <w:r w:rsidRPr="00A265D5">
              <w:rPr>
                <w:rFonts w:cs="Segoe UI"/>
                <w:b/>
                <w:color w:val="F4F6FA"/>
                <w:sz w:val="20"/>
              </w:rPr>
              <w:t>Değer</w:t>
            </w:r>
          </w:p>
        </w:tc>
        <w:tc>
          <w:tcPr>
            <w:tcW w:w="4840" w:type="dxa"/>
            <w:shd w:val="clear" w:color="auto" w:fill="0F2544"/>
          </w:tcPr>
          <w:p w14:paraId="27C96F22" w14:textId="40BFBA8C" w:rsidR="00A265D5" w:rsidRPr="00A265D5" w:rsidRDefault="00A265D5" w:rsidP="00A265D5">
            <w:pPr>
              <w:spacing w:before="280"/>
              <w:rPr>
                <w:rFonts w:cs="Segoe UI"/>
                <w:b/>
                <w:color w:val="F4F6FA"/>
                <w:sz w:val="20"/>
              </w:rPr>
            </w:pPr>
            <w:r w:rsidRPr="00A265D5">
              <w:rPr>
                <w:rFonts w:cs="Segoe UI"/>
                <w:b/>
                <w:color w:val="F4F6FA"/>
                <w:sz w:val="20"/>
              </w:rPr>
              <w:t>Ne Sağlar</w:t>
            </w:r>
          </w:p>
        </w:tc>
      </w:tr>
      <w:tr w:rsidR="00A265D5" w:rsidRPr="00A265D5" w14:paraId="0F55336C" w14:textId="77777777" w:rsidTr="00A265D5">
        <w:tc>
          <w:tcPr>
            <w:tcW w:w="4840" w:type="dxa"/>
            <w:tcBorders>
              <w:bottom w:val="single" w:sz="4" w:space="0" w:color="auto"/>
            </w:tcBorders>
          </w:tcPr>
          <w:p w14:paraId="5F1080F0" w14:textId="1664644E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Tek platform</w:t>
            </w:r>
          </w:p>
        </w:tc>
        <w:tc>
          <w:tcPr>
            <w:tcW w:w="4840" w:type="dxa"/>
            <w:tcBorders>
              <w:bottom w:val="single" w:sz="4" w:space="0" w:color="auto"/>
            </w:tcBorders>
          </w:tcPr>
          <w:p w14:paraId="172F5ED1" w14:textId="2468B6D7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Değişiklik, veri erişimi ve uyumluluk tek yerde</w:t>
            </w:r>
          </w:p>
        </w:tc>
      </w:tr>
      <w:tr w:rsidR="00A265D5" w:rsidRPr="00A265D5" w14:paraId="278A124F" w14:textId="77777777" w:rsidTr="00A265D5">
        <w:tc>
          <w:tcPr>
            <w:tcW w:w="4840" w:type="dxa"/>
            <w:shd w:val="clear" w:color="auto" w:fill="F0F4FA"/>
          </w:tcPr>
          <w:p w14:paraId="52A27240" w14:textId="603B19EA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Üç veritabanı</w:t>
            </w:r>
          </w:p>
        </w:tc>
        <w:tc>
          <w:tcPr>
            <w:tcW w:w="4840" w:type="dxa"/>
            <w:shd w:val="clear" w:color="auto" w:fill="F0F4FA"/>
          </w:tcPr>
          <w:p w14:paraId="3D05EE0C" w14:textId="565E0E9B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SQL Server, PostgreSQL, Oracle aynı yönetişim modeli</w:t>
            </w:r>
          </w:p>
        </w:tc>
      </w:tr>
      <w:tr w:rsidR="00A265D5" w:rsidRPr="00A265D5" w14:paraId="709745E7" w14:textId="77777777" w:rsidTr="00A265D5">
        <w:tc>
          <w:tcPr>
            <w:tcW w:w="4840" w:type="dxa"/>
            <w:tcBorders>
              <w:bottom w:val="single" w:sz="4" w:space="0" w:color="auto"/>
            </w:tcBorders>
          </w:tcPr>
          <w:p w14:paraId="76ED3344" w14:textId="71634006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Farklılaşma</w:t>
            </w:r>
          </w:p>
        </w:tc>
        <w:tc>
          <w:tcPr>
            <w:tcW w:w="4840" w:type="dxa"/>
            <w:tcBorders>
              <w:bottom w:val="single" w:sz="4" w:space="0" w:color="auto"/>
            </w:tcBorders>
          </w:tcPr>
          <w:p w14:paraId="04D4BE5A" w14:textId="079C1FB8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Production veri erişimi ve maskeleme katmanı (migration araçlarının ötesinde)</w:t>
            </w:r>
          </w:p>
        </w:tc>
      </w:tr>
      <w:tr w:rsidR="00A265D5" w:rsidRPr="00A265D5" w14:paraId="1651751E" w14:textId="77777777" w:rsidTr="00A265D5">
        <w:tc>
          <w:tcPr>
            <w:tcW w:w="4840" w:type="dxa"/>
            <w:shd w:val="clear" w:color="auto" w:fill="F0F4FA"/>
          </w:tcPr>
          <w:p w14:paraId="7661AC7F" w14:textId="0B797AF0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t>On-premise</w:t>
            </w:r>
          </w:p>
        </w:tc>
        <w:tc>
          <w:tcPr>
            <w:tcW w:w="4840" w:type="dxa"/>
            <w:shd w:val="clear" w:color="auto" w:fill="F0F4FA"/>
          </w:tcPr>
          <w:p w14:paraId="1C236E76" w14:textId="64B875E9" w:rsidR="00A265D5" w:rsidRPr="00A265D5" w:rsidRDefault="006A02F4" w:rsidP="00A265D5">
            <w:pPr>
              <w:spacing w:before="280"/>
              <w:rPr>
                <w:rFonts w:cs="Segoe UI"/>
                <w:b/>
                <w:sz w:val="20"/>
              </w:rPr>
            </w:pPr>
            <w:r>
              <w:rPr>
                <w:rFonts w:cs="Segoe UI"/>
                <w:b/>
                <w:sz w:val="20"/>
              </w:rPr>
              <w:t>Kurum içinde çalışır; temel işleyiş internet gerektirmez, dış bağlantılar isteğe bağlıdır</w:t>
            </w:r>
          </w:p>
        </w:tc>
      </w:tr>
      <w:tr w:rsidR="00A265D5" w:rsidRPr="00A265D5" w14:paraId="35C9032F" w14:textId="77777777" w:rsidTr="00A265D5">
        <w:tc>
          <w:tcPr>
            <w:tcW w:w="4840" w:type="dxa"/>
          </w:tcPr>
          <w:p w14:paraId="4E06C7FB" w14:textId="6C017D3F" w:rsidR="00A265D5" w:rsidRPr="00A265D5" w:rsidRDefault="00A265D5" w:rsidP="00A265D5">
            <w:pPr>
              <w:spacing w:before="280"/>
              <w:rPr>
                <w:rFonts w:cs="Segoe UI"/>
                <w:b/>
                <w:sz w:val="20"/>
              </w:rPr>
            </w:pPr>
            <w:r w:rsidRPr="00A265D5">
              <w:rPr>
                <w:rFonts w:cs="Segoe UI"/>
                <w:b/>
                <w:sz w:val="20"/>
              </w:rPr>
              <w:lastRenderedPageBreak/>
              <w:t>Denetime hazır</w:t>
            </w:r>
          </w:p>
        </w:tc>
        <w:tc>
          <w:tcPr>
            <w:tcW w:w="4840" w:type="dxa"/>
          </w:tcPr>
          <w:p w14:paraId="7532B7FB" w14:textId="718AF725" w:rsidR="00A265D5" w:rsidRPr="00A265D5" w:rsidRDefault="00842641" w:rsidP="00A265D5">
            <w:pPr>
              <w:spacing w:before="280"/>
              <w:rPr>
                <w:rFonts w:cs="Segoe UI"/>
                <w:b/>
                <w:sz w:val="20"/>
              </w:rPr>
            </w:pPr>
            <w:r>
              <w:rPr>
                <w:rFonts w:cs="Segoe UI"/>
                <w:b/>
                <w:sz w:val="20"/>
              </w:rPr>
              <w:t>Denetim kanıtı (denetim dosyası, dönem paketi) iş akışının kayıtlarından istendiğinde üretilir; kanıt imzası açıkken dosyalar kurumun anahtarıyla imzalanır</w:t>
            </w:r>
          </w:p>
        </w:tc>
      </w:tr>
    </w:tbl>
    <w:p w14:paraId="7515418F" w14:textId="77777777" w:rsidR="00A265D5" w:rsidRDefault="00A265D5" w:rsidP="00A265D5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</w:p>
    <w:p w14:paraId="18C21FE3" w14:textId="6A4DF3BF" w:rsidR="00A265D5" w:rsidRDefault="00A265D5" w:rsidP="00A265D5">
      <w:pPr>
        <w:spacing w:before="160" w:after="160"/>
        <w:ind w:left="160"/>
        <w:rPr>
          <w:rFonts w:cs="Segoe UI"/>
          <w:b/>
          <w:color w:val="0F2544"/>
        </w:rPr>
      </w:pPr>
      <w:r>
        <w:rPr>
          <w:rFonts w:cs="Segoe UI"/>
          <w:b/>
          <w:color w:val="0F2544"/>
        </w:rPr>
        <w:t>Güvenlik yalnızca canlıya neyin çıktığıyla değil, canlıdan hangi verinin çıktığıyla da ilgilidir.</w:t>
      </w:r>
    </w:p>
    <w:p w14:paraId="73B9CB97" w14:textId="39C456D8" w:rsidR="00A265D5" w:rsidRDefault="00A265D5" w:rsidP="00A265D5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İletişim</w:t>
      </w:r>
    </w:p>
    <w:p w14:paraId="264B2B1A" w14:textId="0E654990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Web: www.sqlchangeguard.com</w:t>
      </w:r>
    </w:p>
    <w:p w14:paraId="16DF46B7" w14:textId="752C6CB9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E-posta: onur.egilmez@sqlchangeguard.com  |  info@sqlchangeguard.com</w:t>
      </w:r>
    </w:p>
    <w:p w14:paraId="61992A4F" w14:textId="282A0D8F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Telefon: 0505 621 29 02</w:t>
      </w:r>
    </w:p>
    <w:p w14:paraId="4F9EB26A" w14:textId="352B2259" w:rsidR="00A265D5" w:rsidRDefault="00A265D5" w:rsidP="00A265D5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LinkedIn: linkedin.com/company/sqlchangeguard</w:t>
      </w:r>
    </w:p>
    <w:p w14:paraId="49BA6229" w14:textId="77777777" w:rsidR="00A265D5" w:rsidRDefault="00A265D5" w:rsidP="00A265D5">
      <w:pPr>
        <w:spacing w:after="60"/>
        <w:rPr>
          <w:rFonts w:cs="Segoe UI"/>
        </w:rPr>
      </w:pPr>
    </w:p>
    <w:p w14:paraId="5C9CCB2D" w14:textId="77777777" w:rsidR="00A265D5" w:rsidRPr="00A265D5" w:rsidRDefault="00A265D5" w:rsidP="00A265D5">
      <w:pPr>
        <w:spacing w:after="60"/>
        <w:rPr>
          <w:rFonts w:cs="Segoe UI"/>
        </w:rPr>
      </w:pPr>
    </w:p>
    <w:sectPr w:rsidR="00A265D5" w:rsidRPr="00A265D5" w:rsidSect="00A265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00" w:right="1280" w:bottom="1200" w:left="12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5B4FC" w14:textId="77777777" w:rsidR="00D05B47" w:rsidRDefault="00D05B47" w:rsidP="00A265D5">
      <w:pPr>
        <w:spacing w:after="0"/>
      </w:pPr>
      <w:r>
        <w:separator/>
      </w:r>
    </w:p>
  </w:endnote>
  <w:endnote w:type="continuationSeparator" w:id="0">
    <w:p w14:paraId="3C3460F1" w14:textId="77777777" w:rsidR="00D05B47" w:rsidRDefault="00D05B47" w:rsidP="00A265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82124" w14:textId="77777777" w:rsidR="00A265D5" w:rsidRDefault="00A265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2A39" w14:textId="508A7636" w:rsidR="00A265D5" w:rsidRPr="00A265D5" w:rsidRDefault="00A265D5" w:rsidP="00A265D5">
    <w:pPr>
      <w:pStyle w:val="Footer"/>
      <w:jc w:val="center"/>
      <w:rPr>
        <w:rFonts w:cs="Segoe UI"/>
        <w:color w:val="5A697D"/>
        <w:sz w:val="16"/>
      </w:rPr>
    </w:pPr>
    <w:r>
      <w:rPr>
        <w:rFonts w:cs="Segoe UI"/>
        <w:color w:val="5A697D"/>
        <w:sz w:val="16"/>
      </w:rPr>
      <w:t>SQL Change Guard  |  Database Operations Governance Platform  |  sqlchangeguard.com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99F0" w14:textId="77777777" w:rsidR="00A265D5" w:rsidRDefault="00A265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AB2D" w14:textId="77777777" w:rsidR="00D05B47" w:rsidRDefault="00D05B47" w:rsidP="00A265D5">
      <w:pPr>
        <w:spacing w:after="0"/>
      </w:pPr>
      <w:r>
        <w:separator/>
      </w:r>
    </w:p>
  </w:footnote>
  <w:footnote w:type="continuationSeparator" w:id="0">
    <w:p w14:paraId="5898EF4B" w14:textId="77777777" w:rsidR="00D05B47" w:rsidRDefault="00D05B47" w:rsidP="00A265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D37F0" w14:textId="77777777" w:rsidR="00A265D5" w:rsidRDefault="00A265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0388" w14:textId="77777777" w:rsidR="00A265D5" w:rsidRDefault="00A265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7083" w14:textId="77777777" w:rsidR="00A265D5" w:rsidRDefault="00A265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D5"/>
    <w:rsid w:val="000279E4"/>
    <w:rsid w:val="001274CA"/>
    <w:rsid w:val="0026297B"/>
    <w:rsid w:val="003D4FD6"/>
    <w:rsid w:val="00511DDA"/>
    <w:rsid w:val="0054559A"/>
    <w:rsid w:val="006A02F4"/>
    <w:rsid w:val="006F2242"/>
    <w:rsid w:val="00702D33"/>
    <w:rsid w:val="0074441C"/>
    <w:rsid w:val="007F0E99"/>
    <w:rsid w:val="00842641"/>
    <w:rsid w:val="008E0DF8"/>
    <w:rsid w:val="00A265D5"/>
    <w:rsid w:val="00B84306"/>
    <w:rsid w:val="00BA57F3"/>
    <w:rsid w:val="00D05B47"/>
    <w:rsid w:val="00D30975"/>
    <w:rsid w:val="00F151E7"/>
    <w:rsid w:val="00FE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CDB76"/>
  <w15:chartTrackingRefBased/>
  <w15:docId w15:val="{7CFB13FF-11E1-4CD1-A010-C91133F1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40" w:lineRule="auto"/>
    </w:pPr>
    <w:rPr>
      <w:rFonts w:ascii="Segoe UI" w:hAnsi="Segoe UI"/>
      <w:color w:val="1E293B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5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5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5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5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5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5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65D5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65D5"/>
    <w:rPr>
      <w:rFonts w:ascii="Segoe UI" w:hAnsi="Segoe UI"/>
      <w:color w:val="1E293B"/>
      <w:sz w:val="22"/>
    </w:rPr>
  </w:style>
  <w:style w:type="paragraph" w:styleId="Footer">
    <w:name w:val="footer"/>
    <w:basedOn w:val="Normal"/>
    <w:link w:val="FooterChar"/>
    <w:uiPriority w:val="99"/>
    <w:unhideWhenUsed/>
    <w:rsid w:val="00A265D5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65D5"/>
    <w:rPr>
      <w:rFonts w:ascii="Segoe UI" w:hAnsi="Segoe UI"/>
      <w:color w:val="1E293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eğilmez</dc:creator>
  <cp:keywords/>
  <dc:description/>
  <cp:lastModifiedBy>onur eğilmez</cp:lastModifiedBy>
  <cp:revision>5</cp:revision>
  <dcterms:created xsi:type="dcterms:W3CDTF">2026-07-13T19:32:00Z</dcterms:created>
  <dcterms:modified xsi:type="dcterms:W3CDTF">2026-10-22T06:22:00Z</dcterms:modified>
</cp:coreProperties>
</file>