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A475" w14:textId="77777777" w:rsidR="007F0E99" w:rsidRDefault="007F0E99"/>
    <w:p w14:paraId="41D31B19" w14:textId="77777777" w:rsidR="00A34575" w:rsidRDefault="00A34575"/>
    <w:p w14:paraId="1753C4F1" w14:textId="77777777" w:rsidR="00A34575" w:rsidRDefault="00A34575"/>
    <w:p w14:paraId="202EA4DF" w14:textId="77777777" w:rsidR="00A34575" w:rsidRDefault="00A34575"/>
    <w:p w14:paraId="654BDCF5" w14:textId="2A6887EF" w:rsidR="00A34575" w:rsidRDefault="00A34575" w:rsidP="00A34575">
      <w:pPr>
        <w:jc w:val="center"/>
        <w:rPr>
          <w:rFonts w:ascii="Segoe UI Semibold" w:hAnsi="Segoe UI Semibold"/>
          <w:b/>
          <w:color w:val="0F2544"/>
          <w:sz w:val="68"/>
        </w:rPr>
      </w:pPr>
      <w:r>
        <w:rPr>
          <w:rFonts w:ascii="Segoe UI Semibold" w:hAnsi="Segoe UI Semibold"/>
          <w:b/>
          <w:color w:val="0F2544"/>
          <w:sz w:val="68"/>
        </w:rPr>
        <w:t>SQL Change Guard</w:t>
      </w:r>
    </w:p>
    <w:p w14:paraId="63E74249" w14:textId="39E6C9D4" w:rsidR="00A34575" w:rsidRDefault="00A34575" w:rsidP="00A34575">
      <w:pPr>
        <w:spacing w:after="80"/>
        <w:jc w:val="center"/>
        <w:rPr>
          <w:rFonts w:cs="Segoe UI"/>
          <w:sz w:val="32"/>
        </w:rPr>
      </w:pPr>
      <w:r>
        <w:rPr>
          <w:rFonts w:cs="Segoe UI"/>
          <w:sz w:val="32"/>
        </w:rPr>
        <w:t>Technical Specification</w:t>
      </w:r>
    </w:p>
    <w:p w14:paraId="69B4D720" w14:textId="59ADD033" w:rsidR="00A34575" w:rsidRDefault="00A34575" w:rsidP="00A34575">
      <w:pPr>
        <w:spacing w:after="80"/>
        <w:jc w:val="center"/>
        <w:rPr>
          <w:rFonts w:ascii="Arial" w:hAnsi="Arial" w:cs="Arial"/>
          <w:color w:val="0F2544"/>
          <w:sz w:val="24"/>
        </w:rPr>
      </w:pPr>
      <w:r>
        <w:rPr>
          <w:rFonts w:ascii="Arial" w:hAnsi="Arial" w:cs="Arial"/>
          <w:color w:val="0F2544"/>
          <w:sz w:val="24"/>
        </w:rPr>
        <w:t>────────────────────────</w:t>
      </w:r>
    </w:p>
    <w:p w14:paraId="67E46258" w14:textId="3F9DC095" w:rsidR="00A34575" w:rsidRDefault="00A34575" w:rsidP="00A34575">
      <w:pPr>
        <w:spacing w:before="120" w:after="80"/>
        <w:jc w:val="center"/>
        <w:rPr>
          <w:rFonts w:cs="Segoe UI"/>
          <w:color w:val="5A697D"/>
          <w:sz w:val="24"/>
        </w:rPr>
      </w:pPr>
      <w:r>
        <w:rPr>
          <w:rFonts w:cs="Segoe UI"/>
          <w:color w:val="5A697D"/>
          <w:sz w:val="24"/>
        </w:rPr>
        <w:t>Architecture, Security, Integration and Requirements</w:t>
      </w:r>
    </w:p>
    <w:p w14:paraId="5699D36A" w14:textId="66507481" w:rsidR="00A34575" w:rsidRDefault="00A34575" w:rsidP="00A34575">
      <w:pPr>
        <w:spacing w:before="480" w:after="0"/>
        <w:jc w:val="center"/>
        <w:rPr>
          <w:rFonts w:cs="Segoe UI"/>
          <w:color w:val="5A697D"/>
          <w:sz w:val="20"/>
        </w:rPr>
      </w:pPr>
      <w:r>
        <w:rPr>
          <w:rFonts w:cs="Segoe UI"/>
          <w:color w:val="5A697D"/>
          <w:sz w:val="20"/>
        </w:rPr>
        <w:t>SQL Server  |  PostgreSQL  |  Oracle</w:t>
      </w:r>
    </w:p>
    <w:p w14:paraId="05AEFBB8" w14:textId="24FB72C6" w:rsidR="00A34575" w:rsidRDefault="00A34575">
      <w:pPr>
        <w:spacing w:after="160" w:line="278" w:lineRule="auto"/>
        <w:rPr>
          <w:rFonts w:cs="Segoe UI"/>
          <w:color w:val="5A697D"/>
          <w:sz w:val="20"/>
        </w:rPr>
      </w:pPr>
      <w:r>
        <w:rPr>
          <w:rFonts w:cs="Segoe UI"/>
          <w:color w:val="5A697D"/>
          <w:sz w:val="20"/>
        </w:rPr>
        <w:br w:type="page"/>
      </w:r>
    </w:p>
    <w:p w14:paraId="5D6EE0DB" w14:textId="01B523FA"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Architecture Overview</w:t>
      </w:r>
    </w:p>
    <w:p w14:paraId="1FB67A1A" w14:textId="3676FE1B" w:rsidR="00A34575" w:rsidRDefault="00A34575" w:rsidP="00A34575">
      <w:pPr>
        <w:rPr>
          <w:rFonts w:cs="Segoe UI"/>
        </w:rPr>
      </w:pPr>
      <w:r>
        <w:rPr>
          <w:rFonts w:cs="Segoe UI"/>
        </w:rPr>
        <w:t>SQL Change Guard has a layered architecture and runs fully on-premise.</w:t>
      </w:r>
    </w:p>
    <w:p w14:paraId="0D21202F" w14:textId="04466BD6" w:rsidR="00A34575" w:rsidRDefault="00A34575" w:rsidP="00A34575">
      <w:pPr>
        <w:spacing w:after="60"/>
        <w:ind w:left="280"/>
        <w:rPr>
          <w:rFonts w:cs="Segoe UI"/>
        </w:rPr>
      </w:pPr>
      <w:r>
        <w:rPr>
          <w:rFonts w:cs="Segoe UI"/>
          <w:color w:val="0F2544"/>
        </w:rPr>
        <w:t xml:space="preserve">▪  </w:t>
      </w:r>
      <w:r>
        <w:rPr>
          <w:rFonts w:cs="Segoe UI"/>
        </w:rPr>
        <w:t>Presentation layer: React-based web interface</w:t>
      </w:r>
    </w:p>
    <w:p w14:paraId="4DABE0D5" w14:textId="21FD6F18" w:rsidR="00A34575" w:rsidRDefault="00A34575" w:rsidP="00A34575">
      <w:pPr>
        <w:spacing w:after="60"/>
        <w:ind w:left="280"/>
        <w:rPr>
          <w:rFonts w:cs="Segoe UI"/>
        </w:rPr>
      </w:pPr>
      <w:r>
        <w:rPr>
          <w:rFonts w:cs="Segoe UI"/>
          <w:color w:val="0F2544"/>
        </w:rPr>
        <w:t xml:space="preserve">▪  </w:t>
      </w:r>
      <w:r>
        <w:rPr>
          <w:rFonts w:cs="Segoe UI"/>
        </w:rPr>
        <w:t>Application layer: REST API (.NET 10)</w:t>
      </w:r>
    </w:p>
    <w:p w14:paraId="77E0AB34" w14:textId="1862E38B" w:rsidR="00A34575" w:rsidRDefault="00A34575" w:rsidP="00A34575">
      <w:pPr>
        <w:spacing w:after="60"/>
        <w:ind w:left="280"/>
        <w:rPr>
          <w:rFonts w:cs="Segoe UI"/>
        </w:rPr>
      </w:pPr>
      <w:r>
        <w:rPr>
          <w:rFonts w:cs="Segoe UI"/>
          <w:color w:val="0F2544"/>
        </w:rPr>
        <w:t xml:space="preserve">▪  </w:t>
      </w:r>
      <w:r>
        <w:rPr>
          <w:rFonts w:cs="Segoe UI"/>
        </w:rPr>
        <w:t>Background service: Windows Service for scheduled jobs (Quartz scheduler)</w:t>
      </w:r>
    </w:p>
    <w:p w14:paraId="75E48546" w14:textId="6DAA0339" w:rsidR="00A34575" w:rsidRDefault="00A34575" w:rsidP="00A34575">
      <w:pPr>
        <w:spacing w:after="60"/>
        <w:ind w:left="280"/>
        <w:rPr>
          <w:rFonts w:cs="Segoe UI"/>
        </w:rPr>
      </w:pPr>
      <w:r>
        <w:rPr>
          <w:rFonts w:cs="Segoe UI"/>
          <w:color w:val="0F2544"/>
        </w:rPr>
        <w:t xml:space="preserve">▪  </w:t>
      </w:r>
      <w:r>
        <w:rPr>
          <w:rFonts w:cs="Segoe UI"/>
        </w:rPr>
        <w:t>SQL analysis layer: a dedicated parser per database (ANTLR4-based PL/SQL parser for Oracle)</w:t>
      </w:r>
    </w:p>
    <w:p w14:paraId="7D833839" w14:textId="56EC8CD7" w:rsidR="00A34575" w:rsidRDefault="00A34575" w:rsidP="00A34575">
      <w:pPr>
        <w:spacing w:after="60"/>
        <w:ind w:left="280"/>
        <w:rPr>
          <w:rFonts w:cs="Segoe UI"/>
        </w:rPr>
      </w:pPr>
      <w:r>
        <w:rPr>
          <w:rFonts w:cs="Segoe UI"/>
          <w:color w:val="0F2544"/>
        </w:rPr>
        <w:t xml:space="preserve">▪  </w:t>
      </w:r>
      <w:r>
        <w:rPr>
          <w:rFonts w:cs="Segoe UI"/>
        </w:rPr>
        <w:t>Policy Engine and Audit Engine</w:t>
      </w:r>
    </w:p>
    <w:p w14:paraId="01CD52DC" w14:textId="6D259AA3" w:rsidR="00A34575" w:rsidRDefault="00A34575" w:rsidP="00A34575">
      <w:pPr>
        <w:spacing w:after="60"/>
        <w:ind w:left="280"/>
        <w:rPr>
          <w:rFonts w:cs="Segoe UI"/>
        </w:rPr>
      </w:pPr>
      <w:r>
        <w:rPr>
          <w:rFonts w:cs="Segoe UI"/>
          <w:color w:val="0F2544"/>
        </w:rPr>
        <w:t xml:space="preserve">▪  </w:t>
      </w:r>
      <w:r>
        <w:rPr>
          <w:rFonts w:cs="Segoe UI"/>
        </w:rPr>
        <w:t>Application database: SQL Server (management data); a separate Immutable database for tamper-evident audit</w:t>
      </w:r>
    </w:p>
    <w:p w14:paraId="5CDCCE80" w14:textId="5AD5ADEF" w:rsidR="00A34575" w:rsidRDefault="00A34575" w:rsidP="00A34575">
      <w:pPr>
        <w:spacing w:after="60"/>
        <w:ind w:left="280"/>
        <w:rPr>
          <w:rFonts w:cs="Segoe UI"/>
        </w:rPr>
      </w:pPr>
      <w:r>
        <w:rPr>
          <w:rFonts w:cs="Segoe UI"/>
          <w:color w:val="0F2544"/>
        </w:rPr>
        <w:t xml:space="preserve">▪  </w:t>
      </w:r>
      <w:r>
        <w:rPr>
          <w:rFonts w:cs="Segoe UI"/>
        </w:rPr>
        <w:t>Target databases: SQL Server, PostgreSQL, Oracle</w:t>
      </w:r>
    </w:p>
    <w:p w14:paraId="5C84EBCC" w14:textId="77777777" w:rsidR="00A34575" w:rsidRDefault="00A34575" w:rsidP="00A34575">
      <w:pPr>
        <w:spacing w:after="60"/>
        <w:rPr>
          <w:rFonts w:cs="Segoe UI"/>
        </w:rPr>
      </w:pPr>
    </w:p>
    <w:p w14:paraId="07CB7169" w14:textId="22CA6C23"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2. Database Independence</w:t>
      </w:r>
    </w:p>
    <w:p w14:paraId="75EFC8C4" w14:textId="0AF5F61A" w:rsidR="00A34575" w:rsidRDefault="00A34575" w:rsidP="00A34575">
      <w:pPr>
        <w:rPr>
          <w:rFonts w:cs="Segoe UI"/>
        </w:rPr>
      </w:pPr>
      <w:r>
        <w:rPr>
          <w:rFonts w:cs="Segoe UI"/>
        </w:rPr>
        <w:t>Vendor dependencies are isolated. Each target database has its own parser, splitter, executor and rollback generator; the same governance model runs across all three.</w:t>
      </w:r>
    </w:p>
    <w:p w14:paraId="218698CA" w14:textId="7608DC5D" w:rsidR="00A34575" w:rsidRDefault="00A34575" w:rsidP="00A34575">
      <w:pPr>
        <w:spacing w:after="60"/>
        <w:ind w:left="280"/>
        <w:rPr>
          <w:rFonts w:cs="Segoe UI"/>
        </w:rPr>
      </w:pPr>
      <w:r>
        <w:rPr>
          <w:rFonts w:cs="Segoe UI"/>
          <w:color w:val="0F2544"/>
        </w:rPr>
        <w:t xml:space="preserve">▪  </w:t>
      </w:r>
      <w:r>
        <w:rPr>
          <w:rFonts w:cs="Segoe UI"/>
        </w:rPr>
        <w:t>SQL Server: T-SQL parser (ScriptDom-based), GO batch separator</w:t>
      </w:r>
    </w:p>
    <w:p w14:paraId="4D2CDDCC" w14:textId="06A03B6D" w:rsidR="00A34575" w:rsidRDefault="00A34575" w:rsidP="00A34575">
      <w:pPr>
        <w:spacing w:after="60"/>
        <w:ind w:left="280"/>
        <w:rPr>
          <w:rFonts w:cs="Segoe UI"/>
        </w:rPr>
      </w:pPr>
      <w:r>
        <w:rPr>
          <w:rFonts w:cs="Segoe UI"/>
          <w:color w:val="0F2544"/>
        </w:rPr>
        <w:t xml:space="preserve">▪  </w:t>
      </w:r>
      <w:r>
        <w:rPr>
          <w:rFonts w:cs="Segoe UI"/>
        </w:rPr>
        <w:t>PostgreSQL: dollar-quote aware ; separator</w:t>
      </w:r>
    </w:p>
    <w:p w14:paraId="499F9371" w14:textId="2DEC13B2" w:rsidR="00A34575" w:rsidRDefault="00A34575" w:rsidP="00A34575">
      <w:pPr>
        <w:spacing w:after="60"/>
        <w:ind w:left="280"/>
        <w:rPr>
          <w:rFonts w:cs="Segoe UI"/>
        </w:rPr>
      </w:pPr>
      <w:r>
        <w:rPr>
          <w:rFonts w:cs="Segoe UI"/>
          <w:color w:val="0F2544"/>
        </w:rPr>
        <w:t xml:space="preserve">▪  </w:t>
      </w:r>
      <w:r>
        <w:rPr>
          <w:rFonts w:cs="Segoe UI"/>
        </w:rPr>
        <w:t>Oracle: PL/SQL block protection, standalone / and ; separators; DDL/DCL/TRUNCATE implicit-commit atomicity guarantee</w:t>
      </w:r>
    </w:p>
    <w:p w14:paraId="5B23A6A6" w14:textId="77777777" w:rsidR="00A34575" w:rsidRDefault="00A34575" w:rsidP="00A34575">
      <w:pPr>
        <w:spacing w:after="60"/>
        <w:rPr>
          <w:rFonts w:cs="Segoe UI"/>
        </w:rPr>
      </w:pPr>
    </w:p>
    <w:p w14:paraId="4B55EBF8" w14:textId="3A4A56B9"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3. Security</w:t>
      </w:r>
    </w:p>
    <w:p w14:paraId="4D34B9A5" w14:textId="1E5849ED" w:rsidR="00A34575" w:rsidRDefault="00A34575" w:rsidP="00A34575">
      <w:pPr>
        <w:spacing w:after="60"/>
        <w:ind w:left="280"/>
        <w:rPr>
          <w:rFonts w:cs="Segoe UI"/>
        </w:rPr>
      </w:pPr>
      <w:r>
        <w:rPr>
          <w:rFonts w:cs="Segoe UI"/>
          <w:color w:val="0F2544"/>
        </w:rPr>
        <w:t xml:space="preserve">▪  </w:t>
      </w:r>
      <w:r>
        <w:rPr>
          <w:rFonts w:cs="Segoe UI"/>
        </w:rPr>
        <w:t>Authentication: JWT-based; LDAP / Active Directory integration</w:t>
      </w:r>
    </w:p>
    <w:p w14:paraId="1C12A48F" w14:textId="34560349" w:rsidR="00A34575" w:rsidRDefault="00A34575" w:rsidP="00A34575">
      <w:pPr>
        <w:spacing w:after="60"/>
        <w:ind w:left="280"/>
        <w:rPr>
          <w:rFonts w:cs="Segoe UI"/>
        </w:rPr>
      </w:pPr>
      <w:r>
        <w:rPr>
          <w:rFonts w:cs="Segoe UI"/>
          <w:color w:val="0F2544"/>
        </w:rPr>
        <w:t xml:space="preserve">▪  </w:t>
      </w:r>
      <w:r>
        <w:rPr>
          <w:rFonts w:cs="Segoe UI"/>
        </w:rPr>
        <w:t>Multi-factor authentication (MFA) support</w:t>
      </w:r>
    </w:p>
    <w:p w14:paraId="4B4188B8" w14:textId="6AE7B628" w:rsidR="00A34575" w:rsidRDefault="00A34575" w:rsidP="00A34575">
      <w:pPr>
        <w:spacing w:after="60"/>
        <w:ind w:left="280"/>
        <w:rPr>
          <w:rFonts w:cs="Segoe UI"/>
        </w:rPr>
      </w:pPr>
      <w:r>
        <w:rPr>
          <w:rFonts w:cs="Segoe UI"/>
          <w:color w:val="0F2544"/>
        </w:rPr>
        <w:t xml:space="preserve">▪  </w:t>
      </w:r>
      <w:r>
        <w:rPr>
          <w:rFonts w:cs="Segoe UI"/>
        </w:rPr>
        <w:t>Role-based, backend-enforced authorization (endpoint, service, screen, action, worker)</w:t>
      </w:r>
    </w:p>
    <w:p w14:paraId="0929E26F" w14:textId="0B367CC3" w:rsidR="00A34575" w:rsidRDefault="00A34575" w:rsidP="00A34575">
      <w:pPr>
        <w:spacing w:after="60"/>
        <w:ind w:left="280"/>
        <w:rPr>
          <w:rFonts w:cs="Segoe UI"/>
        </w:rPr>
      </w:pPr>
      <w:r>
        <w:rPr>
          <w:rFonts w:cs="Segoe UI"/>
          <w:color w:val="0F2544"/>
        </w:rPr>
        <w:t xml:space="preserve">▪  </w:t>
      </w:r>
      <w:r>
        <w:rPr>
          <w:rFonts w:cs="Segoe UI"/>
        </w:rPr>
        <w:t>Server passwords stored at rest encrypted with AES-GCM</w:t>
      </w:r>
    </w:p>
    <w:p w14:paraId="3BC38337" w14:textId="10C6CA83" w:rsidR="00A34575" w:rsidRDefault="00A34575" w:rsidP="00A34575">
      <w:pPr>
        <w:spacing w:after="60"/>
        <w:ind w:left="280"/>
        <w:rPr>
          <w:rFonts w:cs="Segoe UI"/>
        </w:rPr>
      </w:pPr>
      <w:r>
        <w:rPr>
          <w:rFonts w:cs="Segoe UI"/>
          <w:color w:val="0F2544"/>
        </w:rPr>
        <w:t xml:space="preserve">▪  </w:t>
      </w:r>
      <w:r>
        <w:rPr>
          <w:rFonts w:cs="Segoe UI"/>
        </w:rPr>
        <w:t>Query results delivered as encrypted ZIP</w:t>
      </w:r>
    </w:p>
    <w:p w14:paraId="45B0AAE9" w14:textId="77777777" w:rsidR="00E40996" w:rsidRPr="00E40996" w:rsidRDefault="00E40996" w:rsidP="00E40996">
      <w:pPr>
        <w:rPr>
          <w:rFonts w:cs="Segoe UI"/>
        </w:rPr>
      </w:pPr>
      <w:r w:rsidRPr="00E40996">
        <w:rPr>
          <w:rFonts w:cs="Segoe UI"/>
        </w:rPr>
        <w:t>▪  By default the zip password is not mailed; it is shown in the portal after a written reason and every view is audited</w:t>
      </w:r>
    </w:p>
    <w:p w14:paraId="6988A2FD" w14:textId="646D06F4" w:rsidR="00A34575" w:rsidRDefault="00A34575" w:rsidP="00A34575">
      <w:pPr>
        <w:spacing w:after="60"/>
        <w:ind w:left="280"/>
        <w:rPr>
          <w:rFonts w:cs="Segoe UI"/>
        </w:rPr>
      </w:pPr>
      <w:r>
        <w:rPr>
          <w:rFonts w:cs="Segoe UI"/>
          <w:color w:val="0F2544"/>
        </w:rPr>
        <w:t xml:space="preserve">▪  </w:t>
      </w:r>
      <w:r>
        <w:rPr>
          <w:rFonts w:cs="Segoe UI"/>
        </w:rPr>
        <w:t>Immutable audit: records protected by a hash chain</w:t>
      </w:r>
    </w:p>
    <w:p w14:paraId="405D16EF" w14:textId="5E2598CE" w:rsidR="00A34575" w:rsidRDefault="00A34575" w:rsidP="00A34575">
      <w:pPr>
        <w:spacing w:after="60"/>
        <w:ind w:left="280"/>
        <w:rPr>
          <w:rFonts w:cs="Segoe UI"/>
        </w:rPr>
      </w:pPr>
      <w:r>
        <w:rPr>
          <w:rFonts w:cs="Segoe UI"/>
          <w:color w:val="0F2544"/>
        </w:rPr>
        <w:t xml:space="preserve">▪  </w:t>
      </w:r>
      <w:r>
        <w:rPr>
          <w:rFonts w:cs="Segoe UI"/>
        </w:rPr>
        <w:t>Separation of duties</w:t>
      </w:r>
    </w:p>
    <w:p w14:paraId="0C45CC53" w14:textId="77777777" w:rsidR="00A34575" w:rsidRDefault="00A34575" w:rsidP="00A34575">
      <w:pPr>
        <w:spacing w:after="60"/>
        <w:rPr>
          <w:rFonts w:cs="Segoe UI"/>
        </w:rPr>
      </w:pPr>
    </w:p>
    <w:p w14:paraId="0DD06A6E" w14:textId="0F8FB44A"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4. Integration</w:t>
      </w:r>
    </w:p>
    <w:p w14:paraId="14AA45A9" w14:textId="06E83329" w:rsidR="00A34575" w:rsidRDefault="00A34575" w:rsidP="00A34575">
      <w:pPr>
        <w:spacing w:after="60"/>
        <w:ind w:left="280"/>
        <w:rPr>
          <w:rFonts w:cs="Segoe UI"/>
        </w:rPr>
      </w:pPr>
      <w:r>
        <w:rPr>
          <w:rFonts w:cs="Segoe UI"/>
          <w:color w:val="0F2544"/>
        </w:rPr>
        <w:t xml:space="preserve">▪  </w:t>
      </w:r>
      <w:r>
        <w:rPr>
          <w:rFonts w:cs="Segoe UI"/>
        </w:rPr>
        <w:t>LDAP / Active Directory (users and identity)</w:t>
      </w:r>
    </w:p>
    <w:p w14:paraId="254AE20E" w14:textId="52D9F82E" w:rsidR="00A34575" w:rsidRDefault="00A34575" w:rsidP="00A34575">
      <w:pPr>
        <w:spacing w:after="60"/>
        <w:ind w:left="280"/>
        <w:rPr>
          <w:rFonts w:cs="Segoe UI"/>
        </w:rPr>
      </w:pPr>
      <w:r>
        <w:rPr>
          <w:rFonts w:cs="Segoe UI"/>
          <w:color w:val="0F2544"/>
        </w:rPr>
        <w:t xml:space="preserve">▪  </w:t>
      </w:r>
      <w:r>
        <w:rPr>
          <w:rFonts w:cs="Segoe UI"/>
        </w:rPr>
        <w:t>SMTP (notification and approval emails)</w:t>
      </w:r>
    </w:p>
    <w:p w14:paraId="601F9801" w14:textId="15FB5934" w:rsidR="00A34575" w:rsidRDefault="00A34575" w:rsidP="00A34575">
      <w:pPr>
        <w:spacing w:after="60"/>
        <w:ind w:left="280"/>
        <w:rPr>
          <w:rFonts w:cs="Segoe UI"/>
        </w:rPr>
      </w:pPr>
      <w:r>
        <w:rPr>
          <w:rFonts w:cs="Segoe UI"/>
          <w:color w:val="0F2544"/>
        </w:rPr>
        <w:t xml:space="preserve">▪  </w:t>
      </w:r>
      <w:r>
        <w:rPr>
          <w:rFonts w:cs="Segoe UI"/>
        </w:rPr>
        <w:t>REST API (consumption from external systems)</w:t>
      </w:r>
    </w:p>
    <w:p w14:paraId="3A39C1B0" w14:textId="21D32334" w:rsidR="00A34575" w:rsidRDefault="00A34575" w:rsidP="00A34575">
      <w:pPr>
        <w:spacing w:after="60"/>
        <w:ind w:left="280"/>
        <w:rPr>
          <w:rFonts w:cs="Segoe UI"/>
        </w:rPr>
      </w:pPr>
      <w:r>
        <w:rPr>
          <w:rFonts w:cs="Segoe UI"/>
          <w:color w:val="0F2544"/>
        </w:rPr>
        <w:t xml:space="preserve">▪  </w:t>
      </w:r>
      <w:r>
        <w:rPr>
          <w:rFonts w:cs="Segoe UI"/>
        </w:rPr>
        <w:t>ITSM ticket field (link a ticket to a change request; format validated by regex)</w:t>
      </w:r>
    </w:p>
    <w:p w14:paraId="0C4AE161" w14:textId="77777777" w:rsidR="00A34575" w:rsidRDefault="00A34575" w:rsidP="00A34575">
      <w:pPr>
        <w:spacing w:after="60"/>
        <w:rPr>
          <w:rFonts w:cs="Segoe UI"/>
        </w:rPr>
      </w:pPr>
    </w:p>
    <w:p w14:paraId="4E274447" w14:textId="537349FC" w:rsidR="00A34575" w:rsidRDefault="00A34575">
      <w:pPr>
        <w:spacing w:after="160" w:line="278" w:lineRule="auto"/>
        <w:rPr>
          <w:rFonts w:cs="Segoe UI"/>
        </w:rPr>
      </w:pPr>
      <w:r>
        <w:rPr>
          <w:rFonts w:cs="Segoe UI"/>
        </w:rPr>
        <w:br w:type="page"/>
      </w:r>
    </w:p>
    <w:p w14:paraId="08EA1B7F" w14:textId="182D8D8A"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5. Configuration and Rules</w:t>
      </w:r>
    </w:p>
    <w:p w14:paraId="39C96CE1" w14:textId="0CE87345" w:rsidR="00A34575" w:rsidRDefault="00A34575" w:rsidP="00A34575">
      <w:pPr>
        <w:spacing w:after="60"/>
        <w:ind w:left="280"/>
        <w:rPr>
          <w:rFonts w:cs="Segoe UI"/>
        </w:rPr>
      </w:pPr>
      <w:r>
        <w:rPr>
          <w:rFonts w:cs="Segoe UI"/>
          <w:color w:val="0F2544"/>
        </w:rPr>
        <w:t xml:space="preserve">▪  </w:t>
      </w:r>
      <w:r>
        <w:rPr>
          <w:rFonts w:cs="Segoe UI"/>
        </w:rPr>
        <w:t>Configuration is managed via appsettings and the Parameters table; no hardcoded values</w:t>
      </w:r>
    </w:p>
    <w:p w14:paraId="68A52757" w14:textId="7FF80BAE" w:rsidR="00A34575" w:rsidRDefault="00A34575" w:rsidP="00A34575">
      <w:pPr>
        <w:spacing w:after="60"/>
        <w:ind w:left="280"/>
        <w:rPr>
          <w:rFonts w:cs="Segoe UI"/>
        </w:rPr>
      </w:pPr>
      <w:r>
        <w:rPr>
          <w:rFonts w:cs="Segoe UI"/>
          <w:color w:val="0F2544"/>
        </w:rPr>
        <w:t xml:space="preserve">▪  </w:t>
      </w:r>
      <w:r>
        <w:rPr>
          <w:rFonts w:cs="Segoe UI"/>
        </w:rPr>
        <w:t>84+ SQL standard rules can be enabled/disabled from the UI and filtered by database type</w:t>
      </w:r>
    </w:p>
    <w:p w14:paraId="13BB415D" w14:textId="22864CB2" w:rsidR="00A34575" w:rsidRDefault="00A34575" w:rsidP="00A34575">
      <w:pPr>
        <w:spacing w:after="60"/>
        <w:ind w:left="280"/>
        <w:rPr>
          <w:rFonts w:cs="Segoe UI"/>
        </w:rPr>
      </w:pPr>
      <w:r>
        <w:rPr>
          <w:rFonts w:cs="Segoe UI"/>
          <w:color w:val="0F2544"/>
        </w:rPr>
        <w:t xml:space="preserve">▪  </w:t>
      </w:r>
      <w:r>
        <w:rPr>
          <w:rFonts w:cs="Segoe UI"/>
        </w:rPr>
        <w:t>Approval policies defined by server, environment and query type</w:t>
      </w:r>
    </w:p>
    <w:p w14:paraId="4B0A6AC0" w14:textId="5B05F01A" w:rsidR="00A34575" w:rsidRDefault="00A34575" w:rsidP="00A34575">
      <w:pPr>
        <w:spacing w:after="60"/>
        <w:ind w:left="280"/>
        <w:rPr>
          <w:rFonts w:cs="Segoe UI"/>
        </w:rPr>
      </w:pPr>
      <w:r>
        <w:rPr>
          <w:rFonts w:cs="Segoe UI"/>
          <w:color w:val="0F2544"/>
        </w:rPr>
        <w:t xml:space="preserve">▪  </w:t>
      </w:r>
      <w:r>
        <w:rPr>
          <w:rFonts w:cs="Segoe UI"/>
        </w:rPr>
        <w:t>Sensitive data patterns (regex) and critical object list are manageable</w:t>
      </w:r>
    </w:p>
    <w:p w14:paraId="300273A7" w14:textId="77777777" w:rsidR="006E3537" w:rsidRPr="006E3537" w:rsidRDefault="006E3537" w:rsidP="006E3537">
      <w:pPr>
        <w:rPr>
          <w:rFonts w:cs="Segoe UI"/>
        </w:rPr>
      </w:pPr>
      <w:r w:rsidRPr="006E3537">
        <w:rPr>
          <w:rFonts w:cs="Segoe UI"/>
        </w:rPr>
        <w:t>▪  In critical object definitions the database and schema fields can be left empty: an empty database means all databases and an empty schema means all schemas. The object type is always required and must match exactly. The same rule applies to all three database types.</w:t>
      </w:r>
    </w:p>
    <w:p w14:paraId="55B6FCD2" w14:textId="57E6100C" w:rsidR="00A34575" w:rsidRDefault="00A34575" w:rsidP="00A34575">
      <w:pPr>
        <w:spacing w:after="60"/>
        <w:ind w:left="280"/>
        <w:rPr>
          <w:rFonts w:cs="Segoe UI"/>
        </w:rPr>
      </w:pPr>
      <w:r>
        <w:rPr>
          <w:rFonts w:cs="Segoe UI"/>
          <w:color w:val="0F2544"/>
        </w:rPr>
        <w:t xml:space="preserve">▪  </w:t>
      </w:r>
      <w:r>
        <w:rPr>
          <w:rFonts w:cs="Segoe UI"/>
        </w:rPr>
        <w:t>All dates stored in UTC; local time shown to the user</w:t>
      </w:r>
    </w:p>
    <w:p w14:paraId="7BF7AC1A" w14:textId="77777777" w:rsidR="00A34575" w:rsidRDefault="00A34575" w:rsidP="00A34575">
      <w:pPr>
        <w:spacing w:after="60"/>
        <w:rPr>
          <w:rFonts w:cs="Segoe UI"/>
        </w:rPr>
      </w:pPr>
    </w:p>
    <w:p w14:paraId="77767B14" w14:textId="57E63733" w:rsidR="00A34575" w:rsidRDefault="00A34575" w:rsidP="00A34575">
      <w:pPr>
        <w:spacing w:before="120" w:after="40"/>
        <w:jc w:val="center"/>
        <w:rPr>
          <w:rFonts w:cs="Segoe UI"/>
        </w:rPr>
      </w:pPr>
      <w:r>
        <w:rPr>
          <w:rFonts w:cs="Segoe UI"/>
          <w:noProof/>
        </w:rPr>
        <w:drawing>
          <wp:inline distT="0" distB="0" distL="0" distR="0" wp14:anchorId="35E09790" wp14:editId="107DD58E">
            <wp:extent cx="5715000" cy="2818534"/>
            <wp:effectExtent l="19050" t="19050" r="19050" b="20320"/>
            <wp:docPr id="1117221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2120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63564B50" w14:textId="0094299D" w:rsidR="00A34575" w:rsidRDefault="00A34575" w:rsidP="00A34575">
      <w:pPr>
        <w:spacing w:before="120" w:after="160"/>
        <w:jc w:val="center"/>
        <w:rPr>
          <w:rFonts w:cs="Segoe UI"/>
          <w:color w:val="5A697D"/>
          <w:sz w:val="18"/>
        </w:rPr>
      </w:pPr>
      <w:r>
        <w:rPr>
          <w:rFonts w:cs="Segoe UI"/>
          <w:color w:val="5A697D"/>
          <w:sz w:val="18"/>
        </w:rPr>
        <w:t>SQL Standard Rules - enable/disable and filter by database type</w:t>
      </w:r>
    </w:p>
    <w:p w14:paraId="42F5137E" w14:textId="4EF991E7"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6. Audit and Reporting</w:t>
      </w:r>
    </w:p>
    <w:p w14:paraId="2087642A" w14:textId="39F797F0" w:rsidR="00A34575" w:rsidRPr="003963AC" w:rsidRDefault="003963AC" w:rsidP="003963AC">
      <w:pPr>
        <w:rPr>
          <w:rFonts w:cs="Segoe UI"/>
        </w:rPr>
      </w:pPr>
      <w:r w:rsidRPr="003963AC">
        <w:rPr>
          <w:rFonts w:cs="Segoe UI"/>
        </w:rPr>
        <w:t>30 built-in reports export to Excel and PDF; dynamic report definitions are supported. Report access has two layers: the screen permission and a per report role restriction. The restriction is enforced on the server both when listing and when running a report.</w:t>
      </w:r>
      <w:r w:rsidR="00A34575" w:rsidRPr="003963AC">
        <w:rPr>
          <w:rFonts w:cs="Segoe UI"/>
          <w:noProof/>
        </w:rPr>
        <w:drawing>
          <wp:inline distT="0" distB="0" distL="0" distR="0" wp14:anchorId="16D47BD2" wp14:editId="2599988B">
            <wp:extent cx="5715000" cy="2818534"/>
            <wp:effectExtent l="19050" t="19050" r="19050" b="20320"/>
            <wp:docPr id="2146543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4359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6D3DD6CD" w14:textId="77777777" w:rsidR="00400F6B" w:rsidRPr="00400F6B" w:rsidRDefault="00400F6B" w:rsidP="00400F6B">
      <w:pPr>
        <w:rPr>
          <w:rFonts w:cs="Segoe UI"/>
        </w:rPr>
      </w:pPr>
      <w:r w:rsidRPr="00400F6B">
        <w:rPr>
          <w:rFonts w:cs="Segoe UI"/>
        </w:rPr>
        <w:t>Opening a role restricted report is written to the audit trail as well: who opened which report, with which filters, and how many rows were returned. No row data is stored in the record. Unrestricted reports are not logged, so the audit trail stays readable.</w:t>
      </w:r>
    </w:p>
    <w:p w14:paraId="1BDCCB37" w14:textId="65D9BD3E" w:rsidR="00400F6B" w:rsidRPr="00400F6B" w:rsidRDefault="00400F6B" w:rsidP="00400F6B">
      <w:pPr>
        <w:rPr>
          <w:rFonts w:cs="Segoe UI"/>
        </w:rPr>
      </w:pPr>
      <w:r w:rsidRPr="00400F6B">
        <w:rPr>
          <w:rFonts w:cs="Segoe UI"/>
        </w:rPr>
        <w:t>Adding, updating and deleting an ITSM ticket is written to the audit trail too. Ticket data is not a control setting, so it does not go through dual control approval; the audit record is the only evidence.</w:t>
      </w:r>
    </w:p>
    <w:p w14:paraId="51AABA79" w14:textId="77777777" w:rsidR="00551680" w:rsidRPr="00551680" w:rsidRDefault="00551680" w:rsidP="00551680">
      <w:pPr>
        <w:rPr>
          <w:rFonts w:cs="Segoe UI"/>
        </w:rPr>
      </w:pPr>
      <w:r w:rsidRPr="00551680">
        <w:rPr>
          <w:rFonts w:cs="Segoe UI"/>
        </w:rPr>
        <w:t>In the evidence dossier the target is written as server name, database engine and database name together. The database name comes from the default database of the server definition; when the script contains a USE statement it overrides that at run time, so it is shown on its own line as well.</w:t>
      </w:r>
    </w:p>
    <w:p w14:paraId="3DE58B15" w14:textId="12689863" w:rsidR="00551680" w:rsidRPr="00551680" w:rsidRDefault="00551680" w:rsidP="00551680">
      <w:pPr>
        <w:rPr>
          <w:rFonts w:cs="Segoe UI"/>
        </w:rPr>
      </w:pPr>
      <w:r w:rsidRPr="00551680">
        <w:rPr>
          <w:rFonts w:cs="Segoe UI"/>
        </w:rPr>
        <w:t>A query result request can target more than one server; server names are separated by semicolons. Server resolution honours that separator: database type and name are resolved per server, automatic execution is only enabled when every target server allows it, and when one of the servers no longer exists the machine does not execute.</w:t>
      </w:r>
    </w:p>
    <w:p w14:paraId="0685E72C" w14:textId="58B8A02C" w:rsidR="00AD0B22" w:rsidRPr="00AD0B22" w:rsidRDefault="00AD0B22" w:rsidP="00AD0B22">
      <w:pPr>
        <w:rPr>
          <w:rFonts w:cs="Segoe UI"/>
          <w:sz w:val="18"/>
        </w:rPr>
      </w:pPr>
      <w:r w:rsidRPr="00AD0B22">
        <w:rPr>
          <w:rFonts w:cs="Segoe UI"/>
          <w:sz w:val="18"/>
        </w:rPr>
        <w:t>Reports - 30 built-in reports in five groups</w:t>
      </w:r>
    </w:p>
    <w:p w14:paraId="753D6478" w14:textId="4F4433D9" w:rsidR="00AD0B22" w:rsidRPr="00AD0B22" w:rsidRDefault="00AD0B22" w:rsidP="00AD0B22">
      <w:pPr>
        <w:rPr>
          <w:rFonts w:cs="Segoe UI"/>
          <w:sz w:val="18"/>
        </w:rPr>
      </w:pPr>
      <w:r w:rsidRPr="00AD0B22">
        <w:rPr>
          <w:rFonts w:cs="Segoe UI"/>
          <w:sz w:val="18"/>
        </w:rPr>
        <w:t>▪  Change Governance: request summary, request by object, work in progress, rejected and cancelled, high risk changes, rollback changes, approval and execution duration, execution activity, approval step detail, sandbox test results, control exceptions</w:t>
      </w:r>
    </w:p>
    <w:p w14:paraId="6BE88BB2" w14:textId="53441097" w:rsidR="00AD0B22" w:rsidRPr="00AD0B22" w:rsidRDefault="00AD0B22" w:rsidP="00AD0B22">
      <w:pPr>
        <w:rPr>
          <w:rFonts w:cs="Segoe UI"/>
          <w:sz w:val="18"/>
        </w:rPr>
      </w:pPr>
      <w:r w:rsidRPr="00AD0B22">
        <w:rPr>
          <w:rFonts w:cs="Segoe UI"/>
          <w:sz w:val="18"/>
        </w:rPr>
        <w:t>▪  Object &amp; Structure: critical object access, object change frequency, table structure changes, data modification frequency, multi release objects, active conflicts</w:t>
      </w:r>
    </w:p>
    <w:p w14:paraId="5B857833" w14:textId="2A612581" w:rsidR="00AD0B22" w:rsidRPr="00AD0B22" w:rsidRDefault="00AD0B22" w:rsidP="00AD0B22">
      <w:pPr>
        <w:rPr>
          <w:rFonts w:cs="Segoe UI"/>
          <w:sz w:val="18"/>
        </w:rPr>
      </w:pPr>
      <w:r w:rsidRPr="00AD0B22">
        <w:rPr>
          <w:rFonts w:cs="Segoe UI"/>
          <w:sz w:val="18"/>
        </w:rPr>
        <w:t>▪  Access &amp; Authorization: privileged account operations, user DDL activity, user permission matrix, user access changes</w:t>
      </w:r>
    </w:p>
    <w:p w14:paraId="3DD47C37" w14:textId="6BCABB6F" w:rsidR="003963AC" w:rsidRDefault="003963AC" w:rsidP="00A34575">
      <w:pPr>
        <w:spacing w:after="60"/>
        <w:rPr>
          <w:rFonts w:cs="Segoe UI"/>
          <w:sz w:val="18"/>
        </w:rPr>
      </w:pPr>
      <w:r>
        <w:rPr>
          <w:rFonts w:cs="Segoe UI"/>
          <w:sz w:val="18"/>
        </w:rPr>
        <w:t>▪  Data &amp; Privacy: query result activity, sensitive column touches, masking activity, sensitive column catalog, masking exempt servers, manual data modifications, data access and export log</w:t>
      </w:r>
    </w:p>
    <w:p w14:paraId="0A89A6DE" w14:textId="5A024692" w:rsidR="00A34575" w:rsidRPr="003963AC" w:rsidRDefault="00AD0B22" w:rsidP="003963AC">
      <w:pPr>
        <w:rPr>
          <w:rFonts w:cs="Segoe UI"/>
          <w:sz w:val="18"/>
        </w:rPr>
      </w:pPr>
      <w:r>
        <w:rPr>
          <w:rFonts w:cs="Segoe UI"/>
          <w:sz w:val="18"/>
        </w:rPr>
        <w:t xml:space="preserve">▪  </w:t>
      </w:r>
      <w:r w:rsidR="003963AC" w:rsidRPr="003963AC">
        <w:rPr>
          <w:rFonts w:cs="Segoe UI"/>
          <w:sz w:val="18"/>
        </w:rPr>
        <w:t>Configuration &amp; Compliance: configuration changes, settings approval trail</w:t>
      </w:r>
    </w:p>
    <w:p w14:paraId="0D6CA8D8" w14:textId="1C9617ED" w:rsidR="00A34575" w:rsidRDefault="00A34575" w:rsidP="00A34575">
      <w:pPr>
        <w:spacing w:before="280"/>
        <w:rPr>
          <w:rFonts w:ascii="Segoe UI Semibold" w:hAnsi="Segoe UI Semibold" w:cs="Segoe UI"/>
          <w:b/>
          <w:color w:val="0F2544"/>
          <w:sz w:val="40"/>
        </w:rPr>
      </w:pPr>
      <w:r>
        <w:rPr>
          <w:rFonts w:ascii="Segoe UI Semibold" w:hAnsi="Segoe UI Semibold" w:cs="Segoe UI"/>
          <w:b/>
          <w:color w:val="0F2544"/>
          <w:sz w:val="40"/>
        </w:rPr>
        <w:t>7. System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5"/>
        <w:gridCol w:w="4835"/>
      </w:tblGrid>
      <w:tr w:rsidR="00A34575" w:rsidRPr="00A34575" w14:paraId="549ABF55" w14:textId="77777777" w:rsidTr="00A34575">
        <w:tc>
          <w:tcPr>
            <w:tcW w:w="4840" w:type="dxa"/>
            <w:shd w:val="clear" w:color="auto" w:fill="0F2544"/>
          </w:tcPr>
          <w:p w14:paraId="0112A393" w14:textId="0EFFB715" w:rsidR="00A34575" w:rsidRPr="00A34575" w:rsidRDefault="00A34575" w:rsidP="00A34575">
            <w:pPr>
              <w:spacing w:before="280"/>
              <w:rPr>
                <w:rFonts w:cs="Segoe UI"/>
                <w:b/>
                <w:color w:val="F4F6FA"/>
                <w:sz w:val="20"/>
              </w:rPr>
            </w:pPr>
            <w:r w:rsidRPr="00A34575">
              <w:rPr>
                <w:rFonts w:cs="Segoe UI"/>
                <w:b/>
                <w:color w:val="F4F6FA"/>
                <w:sz w:val="20"/>
              </w:rPr>
              <w:t>Component</w:t>
            </w:r>
          </w:p>
        </w:tc>
        <w:tc>
          <w:tcPr>
            <w:tcW w:w="4840" w:type="dxa"/>
            <w:shd w:val="clear" w:color="auto" w:fill="0F2544"/>
          </w:tcPr>
          <w:p w14:paraId="4319ECB5" w14:textId="031F5F33" w:rsidR="00A34575" w:rsidRPr="00A34575" w:rsidRDefault="00A34575" w:rsidP="00A34575">
            <w:pPr>
              <w:spacing w:before="280"/>
              <w:rPr>
                <w:rFonts w:cs="Segoe UI"/>
                <w:b/>
                <w:color w:val="F4F6FA"/>
                <w:sz w:val="20"/>
              </w:rPr>
            </w:pPr>
            <w:r w:rsidRPr="00A34575">
              <w:rPr>
                <w:rFonts w:cs="Segoe UI"/>
                <w:b/>
                <w:color w:val="F4F6FA"/>
                <w:sz w:val="20"/>
              </w:rPr>
              <w:t>Requirement</w:t>
            </w:r>
          </w:p>
        </w:tc>
      </w:tr>
      <w:tr w:rsidR="00A34575" w:rsidRPr="00A34575" w14:paraId="3C2F8B33" w14:textId="77777777" w:rsidTr="00A34575">
        <w:tc>
          <w:tcPr>
            <w:tcW w:w="4840" w:type="dxa"/>
            <w:tcBorders>
              <w:bottom w:val="single" w:sz="4" w:space="0" w:color="auto"/>
            </w:tcBorders>
          </w:tcPr>
          <w:p w14:paraId="4FAB148B" w14:textId="6593CE57" w:rsidR="00A34575" w:rsidRPr="00A34575" w:rsidRDefault="00A34575" w:rsidP="00A34575">
            <w:pPr>
              <w:spacing w:before="280"/>
              <w:rPr>
                <w:rFonts w:cs="Segoe UI"/>
                <w:b/>
                <w:sz w:val="20"/>
              </w:rPr>
            </w:pPr>
            <w:r w:rsidRPr="00A34575">
              <w:rPr>
                <w:rFonts w:cs="Segoe UI"/>
                <w:b/>
                <w:sz w:val="20"/>
              </w:rPr>
              <w:t>Application database</w:t>
            </w:r>
          </w:p>
        </w:tc>
        <w:tc>
          <w:tcPr>
            <w:tcW w:w="4840" w:type="dxa"/>
            <w:tcBorders>
              <w:bottom w:val="single" w:sz="4" w:space="0" w:color="auto"/>
            </w:tcBorders>
          </w:tcPr>
          <w:p w14:paraId="713FEB37" w14:textId="725FBCE4" w:rsidR="00A34575" w:rsidRPr="00A34575" w:rsidRDefault="00A34575" w:rsidP="00A34575">
            <w:pPr>
              <w:spacing w:before="280"/>
              <w:rPr>
                <w:rFonts w:cs="Segoe UI"/>
                <w:b/>
                <w:sz w:val="20"/>
              </w:rPr>
            </w:pPr>
            <w:r w:rsidRPr="00A34575">
              <w:rPr>
                <w:rFonts w:cs="Segoe UI"/>
                <w:b/>
                <w:sz w:val="20"/>
              </w:rPr>
              <w:t>SQL Server 2016 or later</w:t>
            </w:r>
          </w:p>
        </w:tc>
      </w:tr>
      <w:tr w:rsidR="00A34575" w:rsidRPr="00A34575" w14:paraId="4E603EBF" w14:textId="77777777" w:rsidTr="00A34575">
        <w:tc>
          <w:tcPr>
            <w:tcW w:w="4840" w:type="dxa"/>
            <w:shd w:val="clear" w:color="auto" w:fill="F0F4FA"/>
          </w:tcPr>
          <w:p w14:paraId="06FC04DD" w14:textId="5DDE6D23" w:rsidR="00A34575" w:rsidRPr="00A34575" w:rsidRDefault="00A34575" w:rsidP="00A34575">
            <w:pPr>
              <w:spacing w:before="280"/>
              <w:rPr>
                <w:rFonts w:cs="Segoe UI"/>
                <w:b/>
                <w:sz w:val="20"/>
              </w:rPr>
            </w:pPr>
            <w:r w:rsidRPr="00A34575">
              <w:rPr>
                <w:rFonts w:cs="Segoe UI"/>
                <w:b/>
                <w:sz w:val="20"/>
              </w:rPr>
              <w:t>Server environment</w:t>
            </w:r>
          </w:p>
        </w:tc>
        <w:tc>
          <w:tcPr>
            <w:tcW w:w="4840" w:type="dxa"/>
            <w:shd w:val="clear" w:color="auto" w:fill="F0F4FA"/>
          </w:tcPr>
          <w:p w14:paraId="0D5343E4" w14:textId="390DD0BA" w:rsidR="00A34575" w:rsidRPr="00A34575" w:rsidRDefault="00A34575" w:rsidP="00A34575">
            <w:pPr>
              <w:spacing w:before="280"/>
              <w:rPr>
                <w:rFonts w:cs="Segoe UI"/>
                <w:b/>
                <w:sz w:val="20"/>
              </w:rPr>
            </w:pPr>
            <w:r w:rsidRPr="00A34575">
              <w:rPr>
                <w:rFonts w:cs="Segoe UI"/>
                <w:b/>
                <w:sz w:val="20"/>
              </w:rPr>
              <w:t>Windows Server (IIS/Kestrel + Windows Service)</w:t>
            </w:r>
          </w:p>
        </w:tc>
      </w:tr>
      <w:tr w:rsidR="00A34575" w:rsidRPr="00A34575" w14:paraId="3E8CAFAC" w14:textId="77777777" w:rsidTr="00A34575">
        <w:tc>
          <w:tcPr>
            <w:tcW w:w="4840" w:type="dxa"/>
            <w:tcBorders>
              <w:bottom w:val="single" w:sz="4" w:space="0" w:color="auto"/>
            </w:tcBorders>
          </w:tcPr>
          <w:p w14:paraId="5D53F2B6" w14:textId="620D3075" w:rsidR="00A34575" w:rsidRPr="00A34575" w:rsidRDefault="00A34575" w:rsidP="00A34575">
            <w:pPr>
              <w:spacing w:before="280"/>
              <w:rPr>
                <w:rFonts w:cs="Segoe UI"/>
                <w:b/>
                <w:sz w:val="20"/>
              </w:rPr>
            </w:pPr>
            <w:r w:rsidRPr="00A34575">
              <w:rPr>
                <w:rFonts w:cs="Segoe UI"/>
                <w:b/>
                <w:sz w:val="20"/>
              </w:rPr>
              <w:t>Runtime</w:t>
            </w:r>
          </w:p>
        </w:tc>
        <w:tc>
          <w:tcPr>
            <w:tcW w:w="4840" w:type="dxa"/>
            <w:tcBorders>
              <w:bottom w:val="single" w:sz="4" w:space="0" w:color="auto"/>
            </w:tcBorders>
          </w:tcPr>
          <w:p w14:paraId="78931B56" w14:textId="2F08DDE2" w:rsidR="00A34575" w:rsidRPr="00A34575" w:rsidRDefault="00A34575" w:rsidP="00A34575">
            <w:pPr>
              <w:spacing w:before="280"/>
              <w:rPr>
                <w:rFonts w:cs="Segoe UI"/>
                <w:b/>
                <w:sz w:val="20"/>
              </w:rPr>
            </w:pPr>
            <w:r w:rsidRPr="00A34575">
              <w:rPr>
                <w:rFonts w:cs="Segoe UI"/>
                <w:b/>
                <w:sz w:val="20"/>
              </w:rPr>
              <w:t>.NET 10</w:t>
            </w:r>
          </w:p>
        </w:tc>
      </w:tr>
      <w:tr w:rsidR="00A34575" w:rsidRPr="00A34575" w14:paraId="48D1041B" w14:textId="77777777" w:rsidTr="00A34575">
        <w:tc>
          <w:tcPr>
            <w:tcW w:w="4840" w:type="dxa"/>
            <w:shd w:val="clear" w:color="auto" w:fill="F0F4FA"/>
          </w:tcPr>
          <w:p w14:paraId="363C3606" w14:textId="0234F7BA" w:rsidR="00A34575" w:rsidRPr="00A34575" w:rsidRDefault="00A34575" w:rsidP="00A34575">
            <w:pPr>
              <w:spacing w:before="280"/>
              <w:rPr>
                <w:rFonts w:cs="Segoe UI"/>
                <w:b/>
                <w:sz w:val="20"/>
              </w:rPr>
            </w:pPr>
            <w:r w:rsidRPr="00A34575">
              <w:rPr>
                <w:rFonts w:cs="Segoe UI"/>
                <w:b/>
                <w:sz w:val="20"/>
              </w:rPr>
              <w:t>Target databases</w:t>
            </w:r>
          </w:p>
        </w:tc>
        <w:tc>
          <w:tcPr>
            <w:tcW w:w="4840" w:type="dxa"/>
            <w:shd w:val="clear" w:color="auto" w:fill="F0F4FA"/>
          </w:tcPr>
          <w:p w14:paraId="3EF1442B" w14:textId="45105F21" w:rsidR="00A34575" w:rsidRPr="00A34575" w:rsidRDefault="00A34575" w:rsidP="00A34575">
            <w:pPr>
              <w:spacing w:before="280"/>
              <w:rPr>
                <w:rFonts w:cs="Segoe UI"/>
                <w:b/>
                <w:sz w:val="20"/>
              </w:rPr>
            </w:pPr>
            <w:r w:rsidRPr="00A34575">
              <w:rPr>
                <w:rFonts w:cs="Segoe UI"/>
                <w:b/>
                <w:sz w:val="20"/>
              </w:rPr>
              <w:t>SQL Server, PostgreSQL, Oracle</w:t>
            </w:r>
          </w:p>
        </w:tc>
      </w:tr>
      <w:tr w:rsidR="00A34575" w:rsidRPr="00A34575" w14:paraId="6C93D579" w14:textId="77777777" w:rsidTr="00A34575">
        <w:tc>
          <w:tcPr>
            <w:tcW w:w="4840" w:type="dxa"/>
            <w:tcBorders>
              <w:bottom w:val="single" w:sz="4" w:space="0" w:color="auto"/>
            </w:tcBorders>
          </w:tcPr>
          <w:p w14:paraId="15975B86" w14:textId="201E568D" w:rsidR="00A34575" w:rsidRPr="00A34575" w:rsidRDefault="00A34575" w:rsidP="00A34575">
            <w:pPr>
              <w:spacing w:before="280"/>
              <w:rPr>
                <w:rFonts w:cs="Segoe UI"/>
                <w:b/>
                <w:sz w:val="20"/>
              </w:rPr>
            </w:pPr>
            <w:r w:rsidRPr="00A34575">
              <w:rPr>
                <w:rFonts w:cs="Segoe UI"/>
                <w:b/>
                <w:sz w:val="20"/>
              </w:rPr>
              <w:t>Client</w:t>
            </w:r>
          </w:p>
        </w:tc>
        <w:tc>
          <w:tcPr>
            <w:tcW w:w="4840" w:type="dxa"/>
            <w:tcBorders>
              <w:bottom w:val="single" w:sz="4" w:space="0" w:color="auto"/>
            </w:tcBorders>
          </w:tcPr>
          <w:p w14:paraId="6A9EE3BE" w14:textId="46EB165F" w:rsidR="00A34575" w:rsidRPr="00A34575" w:rsidRDefault="00A34575" w:rsidP="00A34575">
            <w:pPr>
              <w:spacing w:before="280"/>
              <w:rPr>
                <w:rFonts w:cs="Segoe UI"/>
                <w:b/>
                <w:sz w:val="20"/>
              </w:rPr>
            </w:pPr>
            <w:r w:rsidRPr="00A34575">
              <w:rPr>
                <w:rFonts w:cs="Segoe UI"/>
                <w:b/>
                <w:sz w:val="20"/>
              </w:rPr>
              <w:t>Modern web browser (Chrome, Edge, Firefox)</w:t>
            </w:r>
          </w:p>
        </w:tc>
      </w:tr>
      <w:tr w:rsidR="00A34575" w:rsidRPr="00A34575" w14:paraId="2723444B" w14:textId="77777777" w:rsidTr="00A34575">
        <w:tc>
          <w:tcPr>
            <w:tcW w:w="4840" w:type="dxa"/>
            <w:shd w:val="clear" w:color="auto" w:fill="F0F4FA"/>
          </w:tcPr>
          <w:p w14:paraId="7E7180E8" w14:textId="43C6085D" w:rsidR="00A34575" w:rsidRPr="00A34575" w:rsidRDefault="00A34575" w:rsidP="00A34575">
            <w:pPr>
              <w:spacing w:before="280"/>
              <w:rPr>
                <w:rFonts w:cs="Segoe UI"/>
                <w:b/>
                <w:sz w:val="20"/>
              </w:rPr>
            </w:pPr>
            <w:r w:rsidRPr="00A34575">
              <w:rPr>
                <w:rFonts w:cs="Segoe UI"/>
                <w:b/>
                <w:sz w:val="20"/>
              </w:rPr>
              <w:t>Network</w:t>
            </w:r>
          </w:p>
        </w:tc>
        <w:tc>
          <w:tcPr>
            <w:tcW w:w="4840" w:type="dxa"/>
            <w:shd w:val="clear" w:color="auto" w:fill="F0F4FA"/>
          </w:tcPr>
          <w:p w14:paraId="636B5185" w14:textId="1F3BA710" w:rsidR="00A34575" w:rsidRPr="00A34575" w:rsidRDefault="00A34575" w:rsidP="00A34575">
            <w:pPr>
              <w:spacing w:before="280"/>
              <w:rPr>
                <w:rFonts w:cs="Segoe UI"/>
                <w:b/>
                <w:sz w:val="20"/>
              </w:rPr>
            </w:pPr>
            <w:r w:rsidRPr="00A34575">
              <w:rPr>
                <w:rFonts w:cs="Segoe UI"/>
                <w:b/>
                <w:sz w:val="20"/>
              </w:rPr>
              <w:t>Internal; no internet connection required</w:t>
            </w:r>
          </w:p>
        </w:tc>
      </w:tr>
    </w:tbl>
    <w:p w14:paraId="0CF76AD6" w14:textId="77777777" w:rsidR="00A34575" w:rsidRDefault="00A34575" w:rsidP="00A34575">
      <w:pPr>
        <w:spacing w:before="280"/>
        <w:rPr>
          <w:rFonts w:ascii="Segoe UI Semibold" w:hAnsi="Segoe UI Semibold" w:cs="Segoe UI"/>
          <w:b/>
          <w:color w:val="0F2544"/>
          <w:sz w:val="40"/>
        </w:rPr>
      </w:pPr>
    </w:p>
    <w:p w14:paraId="576DD0EA" w14:textId="2AF48723" w:rsidR="00A34575" w:rsidRDefault="00A34575" w:rsidP="00A34575">
      <w:pPr>
        <w:spacing w:before="280"/>
        <w:rPr>
          <w:rFonts w:ascii="Segoe UI Semibold" w:hAnsi="Segoe UI Semibold" w:cs="Segoe UI Semibold"/>
          <w:b/>
          <w:color w:val="0F2544"/>
          <w:sz w:val="40"/>
        </w:rPr>
      </w:pPr>
      <w:r>
        <w:rPr>
          <w:rFonts w:ascii="Segoe UI Semibold" w:hAnsi="Segoe UI Semibold" w:cs="Segoe UI Semibold"/>
          <w:b/>
          <w:color w:val="0F2544"/>
          <w:sz w:val="40"/>
        </w:rPr>
        <w:t>8. Installation</w:t>
      </w:r>
    </w:p>
    <w:p w14:paraId="187E0C53" w14:textId="36AB8B18" w:rsidR="00A34575" w:rsidRDefault="00A34575" w:rsidP="00A34575">
      <w:pPr>
        <w:rPr>
          <w:rFonts w:cs="Segoe UI"/>
        </w:rPr>
      </w:pPr>
      <w:r>
        <w:rPr>
          <w:rFonts w:cs="Segoe UI"/>
        </w:rPr>
        <w:t>The system is designed to be stood up in an enterprise environment within 30 minutes. The schema is applied automatically via numbered, checksum-protected migration scripts. Environment dependencies are minimal.</w:t>
      </w:r>
    </w:p>
    <w:p w14:paraId="295C60DB" w14:textId="57FC6D46" w:rsidR="00A34575" w:rsidRDefault="00A34575" w:rsidP="00A34575">
      <w:pPr>
        <w:spacing w:before="280"/>
        <w:rPr>
          <w:rFonts w:ascii="Segoe UI Semibold" w:hAnsi="Segoe UI Semibold" w:cs="Segoe UI Semibold"/>
          <w:b/>
          <w:color w:val="0F2544"/>
          <w:sz w:val="40"/>
        </w:rPr>
      </w:pPr>
      <w:r>
        <w:rPr>
          <w:rFonts w:ascii="Segoe UI Semibold" w:hAnsi="Segoe UI Semibold" w:cs="Segoe UI Semibold"/>
          <w:b/>
          <w:color w:val="0F2544"/>
          <w:sz w:val="40"/>
        </w:rPr>
        <w:t>9. Contact</w:t>
      </w:r>
    </w:p>
    <w:p w14:paraId="329005EA" w14:textId="58C5F4A2" w:rsidR="00A34575" w:rsidRDefault="00A34575" w:rsidP="00A34575">
      <w:pPr>
        <w:spacing w:after="60"/>
        <w:ind w:left="280"/>
        <w:rPr>
          <w:rFonts w:cs="Segoe UI"/>
        </w:rPr>
      </w:pPr>
      <w:r>
        <w:rPr>
          <w:rFonts w:cs="Segoe UI"/>
          <w:color w:val="0F2544"/>
        </w:rPr>
        <w:t xml:space="preserve">▪  </w:t>
      </w:r>
      <w:r>
        <w:rPr>
          <w:rFonts w:cs="Segoe UI"/>
        </w:rPr>
        <w:t>Web: www.sqlchangeguard.com</w:t>
      </w:r>
    </w:p>
    <w:p w14:paraId="6227C71D" w14:textId="6811A4D8" w:rsidR="00A34575" w:rsidRDefault="00A34575" w:rsidP="00A34575">
      <w:pPr>
        <w:spacing w:after="60"/>
        <w:ind w:left="280"/>
        <w:rPr>
          <w:rFonts w:cs="Segoe UI"/>
        </w:rPr>
      </w:pPr>
      <w:r>
        <w:rPr>
          <w:rFonts w:cs="Segoe UI"/>
          <w:color w:val="0F2544"/>
        </w:rPr>
        <w:t xml:space="preserve">▪  </w:t>
      </w:r>
      <w:r>
        <w:rPr>
          <w:rFonts w:cs="Segoe UI"/>
        </w:rPr>
        <w:t>Email: onur.egilmez@sqlchangeguard.com  |  info@sqlchangeguard.com</w:t>
      </w:r>
    </w:p>
    <w:p w14:paraId="4B788534" w14:textId="79647202" w:rsidR="00A34575" w:rsidRDefault="00A34575" w:rsidP="00A34575">
      <w:pPr>
        <w:spacing w:after="60"/>
        <w:ind w:left="280"/>
        <w:rPr>
          <w:rFonts w:cs="Segoe UI"/>
        </w:rPr>
      </w:pPr>
      <w:r>
        <w:rPr>
          <w:rFonts w:cs="Segoe UI"/>
          <w:color w:val="0F2544"/>
        </w:rPr>
        <w:t xml:space="preserve">▪  </w:t>
      </w:r>
      <w:r>
        <w:rPr>
          <w:rFonts w:cs="Segoe UI"/>
        </w:rPr>
        <w:t>Phone: +90 505 621 29 02</w:t>
      </w:r>
    </w:p>
    <w:p w14:paraId="6B831A97" w14:textId="5AC01B81" w:rsidR="00A34575" w:rsidRDefault="00A34575" w:rsidP="00A34575">
      <w:pPr>
        <w:spacing w:after="60"/>
        <w:ind w:left="280"/>
        <w:rPr>
          <w:rFonts w:cs="Segoe UI"/>
        </w:rPr>
      </w:pPr>
      <w:r>
        <w:rPr>
          <w:rFonts w:cs="Segoe UI"/>
          <w:color w:val="0F2544"/>
        </w:rPr>
        <w:t xml:space="preserve">▪  </w:t>
      </w:r>
      <w:r>
        <w:rPr>
          <w:rFonts w:cs="Segoe UI"/>
        </w:rPr>
        <w:t>LinkedIn: linkedin.com/company/sqlchangeguard</w:t>
      </w:r>
    </w:p>
    <w:p w14:paraId="76A7519A" w14:textId="77777777" w:rsidR="00A34575" w:rsidRDefault="00A34575" w:rsidP="00A34575">
      <w:pPr>
        <w:spacing w:after="60"/>
        <w:rPr>
          <w:rFonts w:cs="Segoe UI"/>
        </w:rPr>
      </w:pPr>
    </w:p>
    <w:p w14:paraId="7103C3F7" w14:textId="021F7370" w:rsidR="00244859" w:rsidRDefault="00244859">
      <w:pPr>
        <w:spacing w:after="160" w:line="278" w:lineRule="auto"/>
        <w:rPr>
          <w:rFonts w:cs="Segoe UI"/>
        </w:rPr>
      </w:pPr>
      <w:r>
        <w:rPr>
          <w:rFonts w:cs="Segoe UI"/>
        </w:rPr>
        <w:br w:type="page"/>
      </w:r>
    </w:p>
    <w:p w14:paraId="0B9C3228" w14:textId="023CF14B" w:rsidR="00A34575" w:rsidRDefault="00244859" w:rsidP="00244859">
      <w:pPr>
        <w:pStyle w:val="Heading1"/>
      </w:pPr>
      <w:r>
        <w:t>Encryption and Key Management</w:t>
      </w:r>
    </w:p>
    <w:p w14:paraId="0F1859B6" w14:textId="23C51FA2" w:rsidR="00244859" w:rsidRDefault="00244859" w:rsidP="00244859">
      <w:r>
        <w:t>SQL Change Guard protects sensitive data in three distinct categories, each with a cryptographic method suited to its purpose. Secrets that never need to be recovered are hashed one-way; secrets that the application must recover in order to operate are stored with authenticated encryption. This ensures every piece of data is protected with the most appropriate, industry-standard technique.</w:t>
      </w:r>
    </w:p>
    <w:p w14:paraId="35187C7F" w14:textId="674870CC" w:rsidR="00244859" w:rsidRDefault="00244859" w:rsidP="00244859">
      <w:pPr>
        <w:pStyle w:val="Heading2"/>
      </w:pPr>
      <w:r>
        <w:t>1. User passwords</w:t>
      </w:r>
      <w:r w:rsidR="00134864">
        <w:t xml:space="preserve">: </w:t>
      </w:r>
      <w:r>
        <w:t>BCrypt (one-way hash)</w:t>
      </w:r>
    </w:p>
    <w:p w14:paraId="1584C751" w14:textId="0C2F3E09" w:rsidR="00244859" w:rsidRDefault="00244859" w:rsidP="00244859">
      <w:r>
        <w:t>User passwords are stored hashed with BCrypt (work factor 12, with a random per-record salt). This is a one-way operation: the plaintext password is never stored anywhere and cannot be recovered. Authentication is performed by re-hashing the entered password and comparing it to the stored hash. Even if the database is compromised, passwords cannot be reversed.</w:t>
      </w:r>
    </w:p>
    <w:p w14:paraId="3ABB261C" w14:textId="11180C0B" w:rsidR="00244859" w:rsidRDefault="00244859" w:rsidP="00244859">
      <w:pPr>
        <w:pStyle w:val="Heading2"/>
      </w:pPr>
      <w:r>
        <w:t>2. Server database passwords</w:t>
      </w:r>
      <w:r w:rsidR="00134864">
        <w:t xml:space="preserve">: </w:t>
      </w:r>
      <w:r>
        <w:t>AES-256-GCM (encryption)</w:t>
      </w:r>
    </w:p>
    <w:p w14:paraId="0C5A3F6A" w14:textId="04EC25ED" w:rsidR="00244859" w:rsidRDefault="00244859" w:rsidP="00244859">
      <w:r>
        <w:t>Passwords used to connect to target databases (Servers.SqlPassword) are stored at rest with AES-256-GCM authenticated encryption. GCM mode provides both confidentiality and integrity: each record includes a random nonce and an authentication tag, so tampered data cannot be decrypted. The application decrypts the password only briefly in memory when connecting to the target database.</w:t>
      </w:r>
    </w:p>
    <w:p w14:paraId="70B681A9" w14:textId="33177FCF" w:rsidR="00244859" w:rsidRDefault="00244859" w:rsidP="00244859">
      <w:pPr>
        <w:pStyle w:val="Heading2"/>
      </w:pPr>
      <w:r>
        <w:t>3. QR package zip passwords</w:t>
      </w:r>
      <w:r w:rsidR="00134864">
        <w:t xml:space="preserve">: </w:t>
      </w:r>
      <w:r>
        <w:t>AES-256-GCM (encryption)</w:t>
      </w:r>
    </w:p>
    <w:p w14:paraId="32F3C660" w14:textId="32F9C69F" w:rsidR="00244859" w:rsidRDefault="00244859" w:rsidP="00244859">
      <w:r>
        <w:t>The passwords generated for the password-protected zip files of QueryResult (QR) packages are stored using exactly the same principle as server passwords, encrypted with AES-256-GCM. This means all reversible secrets use a single, authenticated cryptographic method, improving both security and clarity of the system.</w:t>
      </w:r>
    </w:p>
    <w:p w14:paraId="0CC05F0A" w14:textId="328ABF9C" w:rsidR="00244859" w:rsidRDefault="00244859" w:rsidP="00244859">
      <w:pPr>
        <w:pStyle w:val="Heading2"/>
      </w:pPr>
      <w:r>
        <w:t>Audit trail integrity</w:t>
      </w:r>
      <w:r w:rsidR="00134864">
        <w:t xml:space="preserve">: </w:t>
      </w:r>
      <w:r>
        <w:t>HMAC-SHA256</w:t>
      </w:r>
    </w:p>
    <w:p w14:paraId="2FEF5C65" w14:textId="187B077F" w:rsidR="00244859" w:rsidRDefault="00244859" w:rsidP="00244859">
      <w:r>
        <w:t>Audit records are protected with a hash chain, and the current version uses HMAC-SHA256. The key is not stored in the database and comes only from the application configuration, so that even someone with database access alone cannot recompute the audit chain and silently alter history.</w:t>
      </w:r>
    </w:p>
    <w:p w14:paraId="72EB72CA" w14:textId="4D9F9A4E" w:rsidR="00244859" w:rsidRDefault="00244859" w:rsidP="00244859">
      <w:pPr>
        <w:pStyle w:val="Heading2"/>
      </w:pPr>
      <w:r>
        <w:t>Key management</w:t>
      </w:r>
    </w:p>
    <w:p w14:paraId="45A68E92" w14:textId="35FB254F" w:rsidR="00244859" w:rsidRDefault="00244859" w:rsidP="00244859">
      <w:r>
        <w:t>All encryption keys are 256-bit (32 bytes, base64) and are consolidated under the Security section of the application configuration: Security:ServerPasswordKey (server passwords), Security:QrZipPasswordKey (QR zip passwords), and Audit:HmacKey (audit trail). In production, keys are supplied via user-secrets or environment variables; they are never embedded in source code or the database.</w:t>
      </w:r>
    </w:p>
    <w:p w14:paraId="03FCC558" w14:textId="132B7772" w:rsidR="00244859" w:rsidRDefault="00244859" w:rsidP="00244859">
      <w:r>
        <w:rPr>
          <w:b/>
        </w:rPr>
        <w:t>Summary: user passwords use a one-way hash (BCrypt); server and QR zip passwords use two-way encryption (AES-256-GCM); the audit trail uses HMAC-SHA256.</w:t>
      </w:r>
    </w:p>
    <w:p w14:paraId="4DF9B002" w14:textId="77777777" w:rsidR="00244859" w:rsidRPr="00244859" w:rsidRDefault="00244859" w:rsidP="00244859"/>
    <w:sectPr w:rsidR="00244859" w:rsidRPr="00244859" w:rsidSect="00A34575">
      <w:headerReference w:type="even" r:id="rId8"/>
      <w:headerReference w:type="default" r:id="rId9"/>
      <w:footerReference w:type="even" r:id="rId10"/>
      <w:footerReference w:type="default" r:id="rId11"/>
      <w:headerReference w:type="first" r:id="rId12"/>
      <w:footerReference w:type="first" r:id="rId13"/>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2A0B0" w14:textId="77777777" w:rsidR="00090B8F" w:rsidRDefault="00090B8F" w:rsidP="00A34575">
      <w:pPr>
        <w:spacing w:after="0"/>
      </w:pPr>
      <w:r>
        <w:separator/>
      </w:r>
    </w:p>
  </w:endnote>
  <w:endnote w:type="continuationSeparator" w:id="0">
    <w:p w14:paraId="2BCB7873" w14:textId="77777777" w:rsidR="00090B8F" w:rsidRDefault="00090B8F" w:rsidP="00A345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807C" w14:textId="77777777" w:rsidR="00A34575" w:rsidRDefault="00A34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DD60" w14:textId="634D545E" w:rsidR="00A34575" w:rsidRPr="00A34575" w:rsidRDefault="00A34575" w:rsidP="00A34575">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DB0D" w14:textId="77777777" w:rsidR="00A34575" w:rsidRDefault="00A34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77E6" w14:textId="77777777" w:rsidR="00090B8F" w:rsidRDefault="00090B8F" w:rsidP="00A34575">
      <w:pPr>
        <w:spacing w:after="0"/>
      </w:pPr>
      <w:r>
        <w:separator/>
      </w:r>
    </w:p>
  </w:footnote>
  <w:footnote w:type="continuationSeparator" w:id="0">
    <w:p w14:paraId="42AFF9BF" w14:textId="77777777" w:rsidR="00090B8F" w:rsidRDefault="00090B8F" w:rsidP="00A345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4561" w14:textId="77777777" w:rsidR="00A34575" w:rsidRDefault="00A34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2199" w14:textId="77777777" w:rsidR="00A34575" w:rsidRDefault="00A34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0984" w14:textId="77777777" w:rsidR="00A34575" w:rsidRDefault="00A345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75"/>
    <w:rsid w:val="000279E4"/>
    <w:rsid w:val="000674AB"/>
    <w:rsid w:val="00090B8F"/>
    <w:rsid w:val="000A3818"/>
    <w:rsid w:val="000A685E"/>
    <w:rsid w:val="00134864"/>
    <w:rsid w:val="00244859"/>
    <w:rsid w:val="003963AC"/>
    <w:rsid w:val="003D4FD6"/>
    <w:rsid w:val="00400F6B"/>
    <w:rsid w:val="00401798"/>
    <w:rsid w:val="00511DDA"/>
    <w:rsid w:val="00551680"/>
    <w:rsid w:val="006E3537"/>
    <w:rsid w:val="006E4A2C"/>
    <w:rsid w:val="006F2242"/>
    <w:rsid w:val="007142E8"/>
    <w:rsid w:val="007632B5"/>
    <w:rsid w:val="007831EC"/>
    <w:rsid w:val="007F0E99"/>
    <w:rsid w:val="00865D99"/>
    <w:rsid w:val="00954BFD"/>
    <w:rsid w:val="00962621"/>
    <w:rsid w:val="00A34575"/>
    <w:rsid w:val="00AD0B22"/>
    <w:rsid w:val="00BA57F3"/>
    <w:rsid w:val="00BE4C06"/>
    <w:rsid w:val="00C4424F"/>
    <w:rsid w:val="00CB499D"/>
    <w:rsid w:val="00CD52CD"/>
    <w:rsid w:val="00E40996"/>
    <w:rsid w:val="00F2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4B5C"/>
  <w15:chartTrackingRefBased/>
  <w15:docId w15:val="{7BCC6191-7683-462F-AE4E-6F464E76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A345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345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45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45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45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4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5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345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45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45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45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4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575"/>
    <w:rPr>
      <w:rFonts w:eastAsiaTheme="majorEastAsia" w:cstheme="majorBidi"/>
      <w:color w:val="272727" w:themeColor="text1" w:themeTint="D8"/>
    </w:rPr>
  </w:style>
  <w:style w:type="paragraph" w:styleId="Title">
    <w:name w:val="Title"/>
    <w:basedOn w:val="Normal"/>
    <w:next w:val="Normal"/>
    <w:link w:val="TitleChar"/>
    <w:uiPriority w:val="10"/>
    <w:qFormat/>
    <w:rsid w:val="00A345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575"/>
    <w:pPr>
      <w:spacing w:before="160"/>
      <w:jc w:val="center"/>
    </w:pPr>
    <w:rPr>
      <w:i/>
      <w:iCs/>
      <w:color w:val="404040" w:themeColor="text1" w:themeTint="BF"/>
    </w:rPr>
  </w:style>
  <w:style w:type="character" w:customStyle="1" w:styleId="QuoteChar">
    <w:name w:val="Quote Char"/>
    <w:basedOn w:val="DefaultParagraphFont"/>
    <w:link w:val="Quote"/>
    <w:uiPriority w:val="29"/>
    <w:rsid w:val="00A34575"/>
    <w:rPr>
      <w:i/>
      <w:iCs/>
      <w:color w:val="404040" w:themeColor="text1" w:themeTint="BF"/>
    </w:rPr>
  </w:style>
  <w:style w:type="paragraph" w:styleId="ListParagraph">
    <w:name w:val="List Paragraph"/>
    <w:basedOn w:val="Normal"/>
    <w:uiPriority w:val="34"/>
    <w:qFormat/>
    <w:rsid w:val="00A34575"/>
    <w:pPr>
      <w:ind w:left="720"/>
      <w:contextualSpacing/>
    </w:pPr>
  </w:style>
  <w:style w:type="character" w:styleId="IntenseEmphasis">
    <w:name w:val="Intense Emphasis"/>
    <w:basedOn w:val="DefaultParagraphFont"/>
    <w:uiPriority w:val="21"/>
    <w:qFormat/>
    <w:rsid w:val="00A34575"/>
    <w:rPr>
      <w:i/>
      <w:iCs/>
      <w:color w:val="2F5496" w:themeColor="accent1" w:themeShade="BF"/>
    </w:rPr>
  </w:style>
  <w:style w:type="paragraph" w:styleId="IntenseQuote">
    <w:name w:val="Intense Quote"/>
    <w:basedOn w:val="Normal"/>
    <w:next w:val="Normal"/>
    <w:link w:val="IntenseQuoteChar"/>
    <w:uiPriority w:val="30"/>
    <w:qFormat/>
    <w:rsid w:val="00A345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575"/>
    <w:rPr>
      <w:i/>
      <w:iCs/>
      <w:color w:val="2F5496" w:themeColor="accent1" w:themeShade="BF"/>
    </w:rPr>
  </w:style>
  <w:style w:type="character" w:styleId="IntenseReference">
    <w:name w:val="Intense Reference"/>
    <w:basedOn w:val="DefaultParagraphFont"/>
    <w:uiPriority w:val="32"/>
    <w:qFormat/>
    <w:rsid w:val="00A34575"/>
    <w:rPr>
      <w:b/>
      <w:bCs/>
      <w:smallCaps/>
      <w:color w:val="2F5496" w:themeColor="accent1" w:themeShade="BF"/>
      <w:spacing w:val="5"/>
    </w:rPr>
  </w:style>
  <w:style w:type="paragraph" w:styleId="Header">
    <w:name w:val="header"/>
    <w:basedOn w:val="Normal"/>
    <w:link w:val="HeaderChar"/>
    <w:uiPriority w:val="99"/>
    <w:unhideWhenUsed/>
    <w:rsid w:val="00A34575"/>
    <w:pPr>
      <w:tabs>
        <w:tab w:val="center" w:pos="4703"/>
        <w:tab w:val="right" w:pos="9406"/>
      </w:tabs>
      <w:spacing w:after="0"/>
    </w:pPr>
  </w:style>
  <w:style w:type="character" w:customStyle="1" w:styleId="HeaderChar">
    <w:name w:val="Header Char"/>
    <w:basedOn w:val="DefaultParagraphFont"/>
    <w:link w:val="Header"/>
    <w:uiPriority w:val="99"/>
    <w:rsid w:val="00A34575"/>
    <w:rPr>
      <w:rFonts w:ascii="Segoe UI" w:hAnsi="Segoe UI"/>
      <w:color w:val="1E293B"/>
      <w:sz w:val="22"/>
    </w:rPr>
  </w:style>
  <w:style w:type="paragraph" w:styleId="Footer">
    <w:name w:val="footer"/>
    <w:basedOn w:val="Normal"/>
    <w:link w:val="FooterChar"/>
    <w:uiPriority w:val="99"/>
    <w:unhideWhenUsed/>
    <w:rsid w:val="00A34575"/>
    <w:pPr>
      <w:tabs>
        <w:tab w:val="center" w:pos="4703"/>
        <w:tab w:val="right" w:pos="9406"/>
      </w:tabs>
      <w:spacing w:after="0"/>
    </w:pPr>
  </w:style>
  <w:style w:type="character" w:customStyle="1" w:styleId="FooterChar">
    <w:name w:val="Footer Char"/>
    <w:basedOn w:val="DefaultParagraphFont"/>
    <w:link w:val="Footer"/>
    <w:uiPriority w:val="99"/>
    <w:rsid w:val="00A34575"/>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9</cp:revision>
  <dcterms:created xsi:type="dcterms:W3CDTF">2026-07-13T18:31:00Z</dcterms:created>
  <dcterms:modified xsi:type="dcterms:W3CDTF">2026-08-04T07:01:00Z</dcterms:modified>
</cp:coreProperties>
</file>