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7842" w14:textId="77777777" w:rsidR="007F0E99" w:rsidRDefault="007F0E99"/>
    <w:p w14:paraId="251CF19A" w14:textId="77777777" w:rsidR="005A1F3F" w:rsidRDefault="005A1F3F"/>
    <w:p w14:paraId="1C825FE8" w14:textId="77777777" w:rsidR="005A1F3F" w:rsidRDefault="005A1F3F"/>
    <w:p w14:paraId="0A0A9C3B" w14:textId="77777777" w:rsidR="005A1F3F" w:rsidRDefault="005A1F3F"/>
    <w:p w14:paraId="4035F7DC" w14:textId="71728ABC" w:rsidR="005A1F3F" w:rsidRDefault="005A1F3F" w:rsidP="005A1F3F">
      <w:pPr>
        <w:jc w:val="center"/>
        <w:rPr>
          <w:rFonts w:ascii="Segoe UI Semibold" w:hAnsi="Segoe UI Semibold"/>
          <w:b/>
          <w:color w:val="0F2544"/>
          <w:sz w:val="68"/>
        </w:rPr>
      </w:pPr>
      <w:r>
        <w:rPr>
          <w:rFonts w:ascii="Segoe UI Semibold" w:hAnsi="Segoe UI Semibold"/>
          <w:b/>
          <w:color w:val="0F2544"/>
          <w:sz w:val="68"/>
        </w:rPr>
        <w:t>SQL Change Guard</w:t>
      </w:r>
    </w:p>
    <w:p w14:paraId="2DC0DE02" w14:textId="5B11BDCE" w:rsidR="005A1F3F" w:rsidRDefault="005A1F3F" w:rsidP="005A1F3F">
      <w:pPr>
        <w:spacing w:after="80"/>
        <w:jc w:val="center"/>
        <w:rPr>
          <w:rFonts w:cs="Segoe UI"/>
          <w:sz w:val="32"/>
        </w:rPr>
      </w:pPr>
      <w:r>
        <w:rPr>
          <w:rFonts w:cs="Segoe UI"/>
          <w:sz w:val="32"/>
        </w:rPr>
        <w:t>Sistem Mimarisi ve Topoloji</w:t>
      </w:r>
    </w:p>
    <w:p w14:paraId="13D4BB44" w14:textId="6320CA7C" w:rsidR="005A1F3F" w:rsidRDefault="005A1F3F" w:rsidP="005A1F3F">
      <w:pPr>
        <w:spacing w:after="80"/>
        <w:jc w:val="center"/>
        <w:rPr>
          <w:rFonts w:ascii="Arial" w:hAnsi="Arial" w:cs="Arial"/>
          <w:color w:val="0F2544"/>
          <w:sz w:val="24"/>
        </w:rPr>
      </w:pPr>
      <w:r>
        <w:rPr>
          <w:rFonts w:ascii="Arial" w:hAnsi="Arial" w:cs="Arial"/>
          <w:color w:val="0F2544"/>
          <w:sz w:val="24"/>
        </w:rPr>
        <w:t>────────────────────────</w:t>
      </w:r>
    </w:p>
    <w:p w14:paraId="63ED56AC" w14:textId="2322F40E" w:rsidR="005A1F3F" w:rsidRDefault="005A1F3F" w:rsidP="005A1F3F">
      <w:pPr>
        <w:spacing w:before="120" w:after="80"/>
        <w:jc w:val="center"/>
        <w:rPr>
          <w:rFonts w:cs="Segoe UI"/>
          <w:color w:val="5A697D"/>
          <w:sz w:val="24"/>
        </w:rPr>
      </w:pPr>
      <w:r>
        <w:rPr>
          <w:rFonts w:cs="Segoe UI"/>
          <w:color w:val="5A697D"/>
          <w:sz w:val="24"/>
        </w:rPr>
        <w:t>Bileşenler, Veri Akışı ve Dağıtım</w:t>
      </w:r>
    </w:p>
    <w:p w14:paraId="15095756" w14:textId="22684607" w:rsidR="005A1F3F" w:rsidRDefault="005A1F3F" w:rsidP="005A1F3F">
      <w:pPr>
        <w:spacing w:before="480" w:after="0"/>
        <w:jc w:val="center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t>On-premise  |  SQL Server  |  PostgreSQL  |  Oracle</w:t>
      </w:r>
    </w:p>
    <w:p w14:paraId="332A86B7" w14:textId="017EDB26" w:rsidR="005A1F3F" w:rsidRDefault="005A1F3F">
      <w:pPr>
        <w:spacing w:after="160" w:line="278" w:lineRule="auto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br w:type="page"/>
      </w:r>
    </w:p>
    <w:p w14:paraId="7AA9EAE9" w14:textId="63A5EFFE" w:rsidR="005A1F3F" w:rsidRDefault="005A1F3F" w:rsidP="005A1F3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lastRenderedPageBreak/>
        <w:t>1. Bileşen Mimarisi</w:t>
      </w:r>
    </w:p>
    <w:p w14:paraId="1F29A39E" w14:textId="1B76A98F" w:rsidR="005A1F3F" w:rsidRDefault="005A1F3F" w:rsidP="005A1F3F">
      <w:pPr>
        <w:rPr>
          <w:rFonts w:cs="Segoe UI"/>
        </w:rPr>
      </w:pPr>
      <w:r>
        <w:rPr>
          <w:rFonts w:cs="Segoe UI"/>
        </w:rPr>
        <w:t>SQL Change Guard üç ana çalışma zamanı bileşeninden oluşur; hepsi kurum ağı içinde çalışır.</w:t>
      </w:r>
    </w:p>
    <w:p w14:paraId="4D1BC9F2" w14:textId="4B87F7A8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 Arayüzü (React): kullanıcıların değişiklik ve sorgu taleplerini yönettiği sunum katmanı</w:t>
      </w:r>
    </w:p>
    <w:p w14:paraId="144F0193" w14:textId="26492097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REST API (.NET 10): iş kuralları, yetkilendirme, parse, risk skorlama, policy engine ve audit motorunun bulunduğu çekirdek</w:t>
      </w:r>
    </w:p>
    <w:p w14:paraId="22C7432A" w14:textId="2BDBB164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Worker (Windows Service, Quartz): zamanlanmış deployment, otomatik çalıştırma ve release paketi işleme</w:t>
      </w:r>
    </w:p>
    <w:p w14:paraId="4472AD90" w14:textId="77777777" w:rsidR="005A1F3F" w:rsidRDefault="005A1F3F" w:rsidP="005A1F3F">
      <w:pPr>
        <w:spacing w:after="60"/>
        <w:rPr>
          <w:rFonts w:cs="Segoe UI"/>
        </w:rPr>
      </w:pPr>
    </w:p>
    <w:p w14:paraId="0DA2D53B" w14:textId="3ADAF7E6" w:rsidR="005A1F3F" w:rsidRDefault="005A1F3F" w:rsidP="005A1F3F">
      <w:pPr>
        <w:spacing w:before="160" w:after="160"/>
        <w:ind w:left="160"/>
        <w:rPr>
          <w:rFonts w:cs="Segoe UI"/>
          <w:b/>
          <w:color w:val="0F2544"/>
        </w:rPr>
      </w:pPr>
      <w:r>
        <w:rPr>
          <w:rFonts w:cs="Segoe UI"/>
          <w:b/>
          <w:color w:val="0F2544"/>
        </w:rPr>
        <w:t>İş mantığı yalnızca backend'dedir. UI kontrolü tek başına güvenlik olarak kabul edilmez; tüm kurallar API tarafında tekrar doğrulanır.</w:t>
      </w:r>
    </w:p>
    <w:p w14:paraId="27BBFA53" w14:textId="717EFFAA" w:rsidR="005A1F3F" w:rsidRDefault="005A1F3F" w:rsidP="005A1F3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2. Veri Katmanları</w:t>
      </w:r>
    </w:p>
    <w:p w14:paraId="4ED5B2A2" w14:textId="729F5995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Uygulama veritabanı (SQL Server): talepler, scriptler, onaylar, roller, parametreler, policy tanımları, raporlar</w:t>
      </w:r>
    </w:p>
    <w:p w14:paraId="3E50499D" w14:textId="044F19AF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Immutable audit veritabanı: hash zinciri ile korunan, değiştirilemeyen denetim olayları</w:t>
      </w:r>
    </w:p>
    <w:p w14:paraId="2F5D8DF9" w14:textId="5F57379B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Hedef veritabanları (SQL Server / PostgreSQL / Oracle): değişikliklerin uygulandığı ve sorguların çalıştığı canlı sistemler</w:t>
      </w:r>
    </w:p>
    <w:p w14:paraId="1A159829" w14:textId="77777777" w:rsidR="005A1F3F" w:rsidRDefault="005A1F3F" w:rsidP="005A1F3F">
      <w:pPr>
        <w:spacing w:after="60"/>
        <w:rPr>
          <w:rFonts w:cs="Segoe UI"/>
        </w:rPr>
      </w:pPr>
    </w:p>
    <w:p w14:paraId="136624B6" w14:textId="66657D66" w:rsidR="005A1F3F" w:rsidRDefault="005A1F3F" w:rsidP="005A1F3F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drawing>
          <wp:inline distT="0" distB="0" distL="0" distR="0" wp14:anchorId="5E88A0F2" wp14:editId="1D9E147A">
            <wp:extent cx="5715000" cy="2826209"/>
            <wp:effectExtent l="19050" t="19050" r="19050" b="12700"/>
            <wp:docPr id="370147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47756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26209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35015D49" w14:textId="106494DC" w:rsidR="005A1F3F" w:rsidRDefault="005A1F3F" w:rsidP="005A1F3F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Audit Logs - değiştirilemeyen denetim kayıtları</w:t>
      </w:r>
    </w:p>
    <w:p w14:paraId="50BB71EC" w14:textId="420E4087" w:rsidR="005A1F3F" w:rsidRDefault="005A1F3F" w:rsidP="005A1F3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3. Mantıksal Akış (Change)</w:t>
      </w:r>
    </w:p>
    <w:p w14:paraId="017B9533" w14:textId="098401CA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1. Kullanıcı web arayüzünden değişiklik talebi (script) oluşturur</w:t>
      </w:r>
    </w:p>
    <w:p w14:paraId="06AB2E38" w14:textId="02970339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2. API script'i parse eder, 84+ kuralla doğrular ve 0-100 risk skoru üretir</w:t>
      </w:r>
    </w:p>
    <w:p w14:paraId="5CF2B04C" w14:textId="04DD8AC7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lastRenderedPageBreak/>
        <w:t xml:space="preserve">▪  </w:t>
      </w:r>
      <w:r>
        <w:rPr>
          <w:rFonts w:cs="Segoe UI"/>
        </w:rPr>
        <w:t>3. Policy engine sunucu/ortam/tip'e göre onay adımlarını belirler</w:t>
      </w:r>
    </w:p>
    <w:p w14:paraId="202E023E" w14:textId="6F466A72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4. Yetkili onaylayıcılar rol bazlı olarak onaylar</w:t>
      </w:r>
    </w:p>
    <w:p w14:paraId="5A9EF275" w14:textId="07420555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5. İsteğe bağlı: sandbox'ta çalıştır ve geri al ile ön doğrulama</w:t>
      </w:r>
    </w:p>
    <w:p w14:paraId="644E5F70" w14:textId="5BC464E2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6. Worker veya kullanıcı, onaylı değişikliği hedef veritabanında tek transaction ile çalıştırır</w:t>
      </w:r>
    </w:p>
    <w:p w14:paraId="1370962C" w14:textId="1A720506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7. Sonuç ve tüm adımlar immutable audit'e yazılır</w:t>
      </w:r>
    </w:p>
    <w:p w14:paraId="23399BB8" w14:textId="77777777" w:rsidR="005A1F3F" w:rsidRDefault="005A1F3F" w:rsidP="005A1F3F">
      <w:pPr>
        <w:spacing w:after="60"/>
        <w:rPr>
          <w:rFonts w:cs="Segoe UI"/>
        </w:rPr>
      </w:pPr>
    </w:p>
    <w:p w14:paraId="494F2ADF" w14:textId="7D2C9589" w:rsidR="005A1F3F" w:rsidRDefault="005A1F3F" w:rsidP="005A1F3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4. Mantıksal Akış (Production Query)</w:t>
      </w:r>
    </w:p>
    <w:p w14:paraId="49E872C2" w14:textId="63E1D4C7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1. Kullanıcı production sorgu (SELECT) talebi oluşturur</w:t>
      </w:r>
    </w:p>
    <w:p w14:paraId="2327006B" w14:textId="2133446A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2. Policy engine kritik tablo/hassas kolon durumuna göre onay ve maskeleme kararı verir</w:t>
      </w:r>
    </w:p>
    <w:p w14:paraId="5BC7BBF5" w14:textId="6094DCF8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3. Gerekli onaylar alınır (DB Admin, güvenlik, maskesiz veri için ek onay)</w:t>
      </w:r>
    </w:p>
    <w:p w14:paraId="48FAAB69" w14:textId="22831316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4. Sorgu çalışır; hassas kolonlar maskelenir</w:t>
      </w:r>
    </w:p>
    <w:p w14:paraId="5D70FBF8" w14:textId="74C64D03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5. Sonuç şifreli ZIP olarak teslim edilir; indirme gerekçesi ve indirme kaydı tutulur</w:t>
      </w:r>
    </w:p>
    <w:p w14:paraId="743FB187" w14:textId="40A7DE7A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6. Tüm süreç audit ve QR maskeleme günlüğüne yazılır</w:t>
      </w:r>
    </w:p>
    <w:p w14:paraId="698BF9C7" w14:textId="77777777" w:rsidR="005A1F3F" w:rsidRDefault="005A1F3F" w:rsidP="005A1F3F">
      <w:pPr>
        <w:spacing w:after="60"/>
        <w:rPr>
          <w:rFonts w:cs="Segoe UI"/>
        </w:rPr>
      </w:pPr>
    </w:p>
    <w:p w14:paraId="51A9DAE8" w14:textId="7C3FD01E" w:rsidR="005A1F3F" w:rsidRDefault="005A1F3F">
      <w:pPr>
        <w:spacing w:after="160" w:line="278" w:lineRule="auto"/>
        <w:rPr>
          <w:rFonts w:cs="Segoe UI"/>
        </w:rPr>
      </w:pPr>
      <w:r>
        <w:rPr>
          <w:rFonts w:cs="Segoe UI"/>
        </w:rPr>
        <w:br w:type="page"/>
      </w:r>
    </w:p>
    <w:p w14:paraId="372006EF" w14:textId="62B6D85D" w:rsidR="005A1F3F" w:rsidRDefault="005A1F3F" w:rsidP="005A1F3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5. Ağ Topolojisi</w:t>
      </w:r>
    </w:p>
    <w:p w14:paraId="151684CA" w14:textId="1BF1061D" w:rsidR="005A1F3F" w:rsidRDefault="005A1F3F" w:rsidP="005A1F3F">
      <w:pPr>
        <w:rPr>
          <w:rFonts w:cs="Segoe UI"/>
        </w:rPr>
      </w:pPr>
      <w:r>
        <w:rPr>
          <w:rFonts w:cs="Segoe UI"/>
        </w:rPr>
        <w:t>Tüm bileşenler kurum ağında konumlanır; internet bağlantısı gerekmez.</w:t>
      </w:r>
    </w:p>
    <w:p w14:paraId="53B256C3" w14:textId="428DB5A9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İstemciler → Web/API (HTTPS)</w:t>
      </w:r>
    </w:p>
    <w:p w14:paraId="0B69DDC9" w14:textId="572FDCA7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→ Uygulama SQL Server (yönetim verisi)</w:t>
      </w:r>
    </w:p>
    <w:p w14:paraId="04817025" w14:textId="4F5B3EC9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→ Immutable audit veritabanı (denetim)</w:t>
      </w:r>
    </w:p>
    <w:p w14:paraId="46B61E98" w14:textId="1EA4FE1F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/ Worker → Hedef veritabanları (SQL Server, PostgreSQL, Oracle)</w:t>
      </w:r>
    </w:p>
    <w:p w14:paraId="64F945EF" w14:textId="01A6A431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API → LDAP/AD (kimlik) ve SMTP (bildirim)</w:t>
      </w:r>
    </w:p>
    <w:p w14:paraId="171D98CD" w14:textId="77777777" w:rsidR="005A1F3F" w:rsidRDefault="005A1F3F" w:rsidP="005A1F3F">
      <w:pPr>
        <w:spacing w:after="60"/>
        <w:rPr>
          <w:rFonts w:cs="Segoe UI"/>
        </w:rPr>
      </w:pPr>
    </w:p>
    <w:p w14:paraId="54222961" w14:textId="63057659" w:rsidR="005A1F3F" w:rsidRDefault="005A1F3F" w:rsidP="005A1F3F">
      <w:pPr>
        <w:spacing w:before="120" w:after="40"/>
        <w:jc w:val="center"/>
        <w:rPr>
          <w:rFonts w:cs="Segoe UI"/>
        </w:rPr>
      </w:pPr>
      <w:r>
        <w:rPr>
          <w:rFonts w:cs="Segoe UI"/>
          <w:noProof/>
        </w:rPr>
        <w:drawing>
          <wp:inline distT="0" distB="0" distL="0" distR="0" wp14:anchorId="639A2E63" wp14:editId="6B4DAACB">
            <wp:extent cx="5715000" cy="2813811"/>
            <wp:effectExtent l="19050" t="19050" r="19050" b="24765"/>
            <wp:docPr id="20966276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2764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13811"/>
                    </a:xfrm>
                    <a:prstGeom prst="rect">
                      <a:avLst/>
                    </a:prstGeom>
                    <a:ln w="9525">
                      <a:solidFill>
                        <a:srgbClr val="D2D9E2"/>
                      </a:solidFill>
                    </a:ln>
                  </pic:spPr>
                </pic:pic>
              </a:graphicData>
            </a:graphic>
          </wp:inline>
        </w:drawing>
      </w:r>
    </w:p>
    <w:p w14:paraId="244431C5" w14:textId="673622BD" w:rsidR="005A1F3F" w:rsidRDefault="005A1F3F" w:rsidP="005A1F3F">
      <w:pPr>
        <w:spacing w:before="120" w:after="160"/>
        <w:jc w:val="center"/>
        <w:rPr>
          <w:rFonts w:cs="Segoe UI"/>
          <w:color w:val="5A697D"/>
          <w:sz w:val="18"/>
        </w:rPr>
      </w:pPr>
      <w:r>
        <w:rPr>
          <w:rFonts w:cs="Segoe UI"/>
          <w:color w:val="5A697D"/>
          <w:sz w:val="18"/>
        </w:rPr>
        <w:t>Sunucu Yönetimi - çoklu SQL Server / PostgreSQL / Oracle tek yerden</w:t>
      </w:r>
    </w:p>
    <w:p w14:paraId="7642D6A2" w14:textId="7D30EF79" w:rsidR="005A1F3F" w:rsidRDefault="005A1F3F" w:rsidP="005A1F3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6. Yüksek Erişilebilirlik ve Kurtarma</w:t>
      </w:r>
    </w:p>
    <w:p w14:paraId="4E4A9A4D" w14:textId="03C280F4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Tek transaction executor: bir talebin tüm adımları tek transaction altında; hata durumunda geri alınır (SS/PG)</w:t>
      </w:r>
    </w:p>
    <w:p w14:paraId="59ACD467" w14:textId="57A2A988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Oracle atomiklik: DDL örtülü-commit yaptığından, örtülü-commit içeren Oracle değişikliklerinde rollback zorunludur ve otomatik hazırlanabilir</w:t>
      </w:r>
    </w:p>
    <w:p w14:paraId="624F3815" w14:textId="45F9F541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Immutable audit: kayıtlar hash zinciri ile bütünlük korumalıdır</w:t>
      </w:r>
    </w:p>
    <w:p w14:paraId="1401BEC1" w14:textId="684C7A58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Uygulama ve immutable veritabanları standart yedekleme/replikasyon ile korunabilir</w:t>
      </w:r>
    </w:p>
    <w:p w14:paraId="3328ADF2" w14:textId="77777777" w:rsidR="005A1F3F" w:rsidRDefault="005A1F3F" w:rsidP="005A1F3F">
      <w:pPr>
        <w:spacing w:after="60"/>
        <w:rPr>
          <w:rFonts w:cs="Segoe UI"/>
        </w:rPr>
      </w:pPr>
    </w:p>
    <w:p w14:paraId="0CA1B429" w14:textId="32892EF6" w:rsidR="005A1F3F" w:rsidRDefault="005A1F3F" w:rsidP="005A1F3F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7. İletişim</w:t>
      </w:r>
    </w:p>
    <w:p w14:paraId="1FCC0C0A" w14:textId="1A923A35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Web: www.sqlchangeguard.com</w:t>
      </w:r>
    </w:p>
    <w:p w14:paraId="1E1FC1E1" w14:textId="7661F619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E-posta: onur.egilmez@sqlchangeguard.com  |  info@sqlchangeguard.com</w:t>
      </w:r>
    </w:p>
    <w:p w14:paraId="3A549F2F" w14:textId="4A6F00B1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Telefon: 0505 621 29 02</w:t>
      </w:r>
    </w:p>
    <w:p w14:paraId="3382455D" w14:textId="07A9D565" w:rsidR="005A1F3F" w:rsidRDefault="005A1F3F" w:rsidP="005A1F3F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LinkedIn: linkedin.com/company/sqlchangeguard</w:t>
      </w:r>
    </w:p>
    <w:p w14:paraId="6795DDE7" w14:textId="77777777" w:rsidR="005A1F3F" w:rsidRDefault="005A1F3F" w:rsidP="005A1F3F">
      <w:pPr>
        <w:spacing w:after="60"/>
        <w:rPr>
          <w:rFonts w:cs="Segoe UI"/>
        </w:rPr>
      </w:pPr>
    </w:p>
    <w:p w14:paraId="66B9D80C" w14:textId="77777777" w:rsidR="005A1F3F" w:rsidRPr="005A1F3F" w:rsidRDefault="005A1F3F" w:rsidP="005A1F3F">
      <w:pPr>
        <w:spacing w:after="60"/>
        <w:rPr>
          <w:rFonts w:cs="Segoe UI"/>
        </w:rPr>
      </w:pPr>
    </w:p>
    <w:sectPr w:rsidR="005A1F3F" w:rsidRPr="005A1F3F" w:rsidSect="005A1F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00" w:right="1280" w:bottom="1200" w:left="12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C82CB" w14:textId="77777777" w:rsidR="002A3427" w:rsidRDefault="002A3427" w:rsidP="005A1F3F">
      <w:pPr>
        <w:spacing w:after="0"/>
      </w:pPr>
      <w:r>
        <w:separator/>
      </w:r>
    </w:p>
  </w:endnote>
  <w:endnote w:type="continuationSeparator" w:id="0">
    <w:p w14:paraId="082EF2BB" w14:textId="77777777" w:rsidR="002A3427" w:rsidRDefault="002A3427" w:rsidP="005A1F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7C46" w14:textId="77777777" w:rsidR="005A1F3F" w:rsidRDefault="005A1F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528B" w14:textId="1DE813D6" w:rsidR="005A1F3F" w:rsidRPr="005A1F3F" w:rsidRDefault="005A1F3F" w:rsidP="005A1F3F">
    <w:pPr>
      <w:pStyle w:val="Footer"/>
      <w:jc w:val="center"/>
      <w:rPr>
        <w:rFonts w:cs="Segoe UI"/>
        <w:color w:val="5A697D"/>
        <w:sz w:val="16"/>
      </w:rPr>
    </w:pPr>
    <w:r>
      <w:rPr>
        <w:rFonts w:cs="Segoe UI"/>
        <w:color w:val="5A697D"/>
        <w:sz w:val="16"/>
      </w:rPr>
      <w:t>SQL Change Guard  |  Database Operations Governance Platform  |  sqlchangeguard.com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7A1A" w14:textId="77777777" w:rsidR="005A1F3F" w:rsidRDefault="005A1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5689" w14:textId="77777777" w:rsidR="002A3427" w:rsidRDefault="002A3427" w:rsidP="005A1F3F">
      <w:pPr>
        <w:spacing w:after="0"/>
      </w:pPr>
      <w:r>
        <w:separator/>
      </w:r>
    </w:p>
  </w:footnote>
  <w:footnote w:type="continuationSeparator" w:id="0">
    <w:p w14:paraId="46BB90A6" w14:textId="77777777" w:rsidR="002A3427" w:rsidRDefault="002A3427" w:rsidP="005A1F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9826" w14:textId="77777777" w:rsidR="005A1F3F" w:rsidRDefault="005A1F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32EA" w14:textId="77777777" w:rsidR="005A1F3F" w:rsidRDefault="005A1F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08B5" w14:textId="77777777" w:rsidR="005A1F3F" w:rsidRDefault="005A1F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3F"/>
    <w:rsid w:val="000279E4"/>
    <w:rsid w:val="002A3427"/>
    <w:rsid w:val="003D4FD6"/>
    <w:rsid w:val="00511DDA"/>
    <w:rsid w:val="005A1F3F"/>
    <w:rsid w:val="006F2242"/>
    <w:rsid w:val="007F0E99"/>
    <w:rsid w:val="00B6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160BE"/>
  <w15:chartTrackingRefBased/>
  <w15:docId w15:val="{6D4BEDCF-5A3E-425D-988B-F744932A3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Segoe UI" w:hAnsi="Segoe UI"/>
      <w:color w:val="1E293B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F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F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F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F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F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F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F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F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F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F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F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F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F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F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F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F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F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F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F3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1F3F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F3F"/>
    <w:rPr>
      <w:rFonts w:ascii="Segoe UI" w:hAnsi="Segoe UI"/>
      <w:color w:val="1E293B"/>
      <w:sz w:val="22"/>
    </w:rPr>
  </w:style>
  <w:style w:type="paragraph" w:styleId="Footer">
    <w:name w:val="footer"/>
    <w:basedOn w:val="Normal"/>
    <w:link w:val="FooterChar"/>
    <w:uiPriority w:val="99"/>
    <w:unhideWhenUsed/>
    <w:rsid w:val="005A1F3F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F3F"/>
    <w:rPr>
      <w:rFonts w:ascii="Segoe UI" w:hAnsi="Segoe UI"/>
      <w:color w:val="1E293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eğilmez</dc:creator>
  <cp:keywords/>
  <dc:description/>
  <cp:lastModifiedBy>onur eğilmez</cp:lastModifiedBy>
  <cp:revision>1</cp:revision>
  <dcterms:created xsi:type="dcterms:W3CDTF">2026-07-13T18:31:00Z</dcterms:created>
  <dcterms:modified xsi:type="dcterms:W3CDTF">2026-07-13T18:31:00Z</dcterms:modified>
</cp:coreProperties>
</file>