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CF2A" w14:textId="77777777" w:rsidR="007F0E99" w:rsidRDefault="007F0E99"/>
    <w:p w14:paraId="058B7B62" w14:textId="77777777" w:rsidR="000D4CBF" w:rsidRDefault="000D4CBF"/>
    <w:p w14:paraId="202F421C" w14:textId="77777777" w:rsidR="000D4CBF" w:rsidRDefault="000D4CBF"/>
    <w:p w14:paraId="5B325CEC" w14:textId="77777777" w:rsidR="000D4CBF" w:rsidRDefault="000D4CBF"/>
    <w:p w14:paraId="10528F8F" w14:textId="4A5A29DB" w:rsidR="000D4CBF" w:rsidRDefault="000D4CBF" w:rsidP="000D4CBF">
      <w:pPr>
        <w:jc w:val="center"/>
        <w:rPr>
          <w:rFonts w:ascii="Segoe UI Semibold" w:hAnsi="Segoe UI Semibold"/>
          <w:b/>
          <w:color w:val="0F2544"/>
          <w:sz w:val="68"/>
        </w:rPr>
      </w:pPr>
      <w:r>
        <w:rPr>
          <w:rFonts w:ascii="Segoe UI Semibold" w:hAnsi="Segoe UI Semibold"/>
          <w:b/>
          <w:color w:val="0F2544"/>
          <w:sz w:val="68"/>
        </w:rPr>
        <w:t>SQL Change Guard</w:t>
      </w:r>
    </w:p>
    <w:p w14:paraId="48A05C2F" w14:textId="4AFD63B9" w:rsidR="000D4CBF" w:rsidRDefault="000D4CBF" w:rsidP="000D4CBF">
      <w:pPr>
        <w:spacing w:after="80"/>
        <w:jc w:val="center"/>
        <w:rPr>
          <w:rFonts w:cs="Segoe UI"/>
          <w:sz w:val="32"/>
        </w:rPr>
      </w:pPr>
      <w:r>
        <w:rPr>
          <w:rFonts w:cs="Segoe UI"/>
          <w:sz w:val="32"/>
        </w:rPr>
        <w:t>System Architecture and Topology</w:t>
      </w:r>
    </w:p>
    <w:p w14:paraId="4D29713B" w14:textId="49E9C8EA" w:rsidR="000D4CBF" w:rsidRDefault="000D4CBF" w:rsidP="000D4CBF">
      <w:pPr>
        <w:spacing w:after="80"/>
        <w:jc w:val="center"/>
        <w:rPr>
          <w:rFonts w:ascii="Arial" w:hAnsi="Arial" w:cs="Arial"/>
          <w:color w:val="0F2544"/>
          <w:sz w:val="24"/>
        </w:rPr>
      </w:pPr>
      <w:r>
        <w:rPr>
          <w:rFonts w:ascii="Arial" w:hAnsi="Arial" w:cs="Arial"/>
          <w:color w:val="0F2544"/>
          <w:sz w:val="24"/>
        </w:rPr>
        <w:t>────────────────────────</w:t>
      </w:r>
    </w:p>
    <w:p w14:paraId="6F1D5C4E" w14:textId="546B1FC2" w:rsidR="000D4CBF" w:rsidRDefault="000D4CBF" w:rsidP="000D4CBF">
      <w:pPr>
        <w:spacing w:before="120" w:after="80"/>
        <w:jc w:val="center"/>
        <w:rPr>
          <w:rFonts w:cs="Segoe UI"/>
          <w:color w:val="5A697D"/>
          <w:sz w:val="24"/>
        </w:rPr>
      </w:pPr>
      <w:r>
        <w:rPr>
          <w:rFonts w:cs="Segoe UI"/>
          <w:color w:val="5A697D"/>
          <w:sz w:val="24"/>
        </w:rPr>
        <w:t>Components, Data Flow and Deployment</w:t>
      </w:r>
    </w:p>
    <w:p w14:paraId="34CF6044" w14:textId="12ACE6CC" w:rsidR="000D4CBF" w:rsidRDefault="000D4CBF" w:rsidP="000D4CBF">
      <w:pPr>
        <w:spacing w:before="480" w:after="0"/>
        <w:jc w:val="center"/>
        <w:rPr>
          <w:rFonts w:cs="Segoe UI"/>
          <w:color w:val="5A697D"/>
          <w:sz w:val="20"/>
        </w:rPr>
      </w:pPr>
      <w:r>
        <w:rPr>
          <w:rFonts w:cs="Segoe UI"/>
          <w:color w:val="5A697D"/>
          <w:sz w:val="20"/>
        </w:rPr>
        <w:t>On-premise  |  SQL Server  |  PostgreSQL  |  Oracle</w:t>
      </w:r>
    </w:p>
    <w:p w14:paraId="53B5A47A" w14:textId="7A73BE2C" w:rsidR="000D4CBF" w:rsidRDefault="000D4CBF">
      <w:pPr>
        <w:spacing w:after="160" w:line="278" w:lineRule="auto"/>
        <w:rPr>
          <w:rFonts w:cs="Segoe UI"/>
          <w:color w:val="5A697D"/>
          <w:sz w:val="20"/>
        </w:rPr>
      </w:pPr>
      <w:r>
        <w:rPr>
          <w:rFonts w:cs="Segoe UI"/>
          <w:color w:val="5A697D"/>
          <w:sz w:val="20"/>
        </w:rPr>
        <w:br w:type="page"/>
      </w:r>
    </w:p>
    <w:p w14:paraId="4553A6BA" w14:textId="35301A71" w:rsidR="000D4CBF" w:rsidRDefault="000D4CBF" w:rsidP="000D4CBF">
      <w:pPr>
        <w:spacing w:before="280"/>
        <w:rPr>
          <w:rFonts w:ascii="Segoe UI Semibold" w:hAnsi="Segoe UI Semibold" w:cs="Segoe UI"/>
          <w:b/>
          <w:color w:val="0F2544"/>
          <w:sz w:val="40"/>
        </w:rPr>
      </w:pPr>
      <w:r>
        <w:rPr>
          <w:rFonts w:ascii="Segoe UI Semibold" w:hAnsi="Segoe UI Semibold" w:cs="Segoe UI"/>
          <w:b/>
          <w:color w:val="0F2544"/>
          <w:sz w:val="40"/>
        </w:rPr>
        <w:lastRenderedPageBreak/>
        <w:t>1. Component Architecture</w:t>
      </w:r>
    </w:p>
    <w:p w14:paraId="0C36F38C" w14:textId="3329FC28" w:rsidR="000D4CBF" w:rsidRDefault="000D4CBF" w:rsidP="000D4CBF">
      <w:pPr>
        <w:rPr>
          <w:rFonts w:cs="Segoe UI"/>
        </w:rPr>
      </w:pPr>
      <w:r>
        <w:rPr>
          <w:rFonts w:cs="Segoe UI"/>
        </w:rPr>
        <w:t>SQL Change Guard consists of three main runtime components; all run inside the corporate network.</w:t>
      </w:r>
    </w:p>
    <w:p w14:paraId="68184F72" w14:textId="0837C27E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Web Interface (React): presentation layer where users manage change and query requests</w:t>
      </w:r>
    </w:p>
    <w:p w14:paraId="00502BB4" w14:textId="605A4F1D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REST API (.NET 10): the core holding business rules, authorization, parsing, risk scoring, policy engine and audit engine</w:t>
      </w:r>
    </w:p>
    <w:p w14:paraId="433217D7" w14:textId="0F1AEBF9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Worker (Windows Service, Quartz): scheduled deployment, auto-execution and release package processing</w:t>
      </w:r>
    </w:p>
    <w:p w14:paraId="78E542B3" w14:textId="77777777" w:rsidR="000D4CBF" w:rsidRDefault="000D4CBF" w:rsidP="000D4CBF">
      <w:pPr>
        <w:spacing w:after="60"/>
        <w:rPr>
          <w:rFonts w:cs="Segoe UI"/>
        </w:rPr>
      </w:pPr>
    </w:p>
    <w:p w14:paraId="4E6ED89C" w14:textId="0D78BAFB" w:rsidR="000D4CBF" w:rsidRDefault="000D4CBF" w:rsidP="000D4CBF">
      <w:pPr>
        <w:spacing w:before="160" w:after="160"/>
        <w:ind w:left="160"/>
        <w:rPr>
          <w:rFonts w:cs="Segoe UI"/>
          <w:b/>
          <w:color w:val="0F2544"/>
        </w:rPr>
      </w:pPr>
      <w:r>
        <w:rPr>
          <w:rFonts w:cs="Segoe UI"/>
          <w:b/>
          <w:color w:val="0F2544"/>
        </w:rPr>
        <w:t>Business logic lives only on the backend. UI control alone is not accepted as security; all rules are re-validated on the API.</w:t>
      </w:r>
    </w:p>
    <w:p w14:paraId="71352A5F" w14:textId="1FA77739" w:rsidR="000D4CBF" w:rsidRDefault="000D4CBF" w:rsidP="000D4CBF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2. Data Layers</w:t>
      </w:r>
    </w:p>
    <w:p w14:paraId="62EEA85C" w14:textId="22EC5226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Application database (SQL Server): requests, scripts, approvals, roles, parameters, policy definitions, reports</w:t>
      </w:r>
    </w:p>
    <w:p w14:paraId="3E1FABBA" w14:textId="3E15ECE0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Immutable audit database: tamper-evident audit events protected by a hash chain</w:t>
      </w:r>
    </w:p>
    <w:p w14:paraId="5DFEE06A" w14:textId="52FB7C77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Target databases (SQL Server / PostgreSQL / Oracle): live systems where changes are applied and queries run</w:t>
      </w:r>
    </w:p>
    <w:p w14:paraId="5BB3563E" w14:textId="77777777" w:rsidR="000D4CBF" w:rsidRDefault="000D4CBF" w:rsidP="000D4CBF">
      <w:pPr>
        <w:spacing w:after="60"/>
        <w:rPr>
          <w:rFonts w:cs="Segoe UI"/>
        </w:rPr>
      </w:pPr>
    </w:p>
    <w:p w14:paraId="4B5D205F" w14:textId="465AE7B6" w:rsidR="000D4CBF" w:rsidRDefault="000D4CBF" w:rsidP="000D4CBF">
      <w:pPr>
        <w:spacing w:before="120" w:after="40"/>
        <w:jc w:val="center"/>
        <w:rPr>
          <w:rFonts w:cs="Segoe UI"/>
        </w:rPr>
      </w:pPr>
      <w:r>
        <w:rPr>
          <w:rFonts w:cs="Segoe UI"/>
          <w:noProof/>
        </w:rPr>
        <w:drawing>
          <wp:inline distT="0" distB="0" distL="0" distR="0" wp14:anchorId="28780F9B" wp14:editId="17A572D0">
            <wp:extent cx="5715000" cy="2826209"/>
            <wp:effectExtent l="19050" t="19050" r="19050" b="12700"/>
            <wp:docPr id="771598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598246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26209"/>
                    </a:xfrm>
                    <a:prstGeom prst="rect">
                      <a:avLst/>
                    </a:prstGeom>
                    <a:ln w="9525">
                      <a:solidFill>
                        <a:srgbClr val="D2D9E2"/>
                      </a:solidFill>
                    </a:ln>
                  </pic:spPr>
                </pic:pic>
              </a:graphicData>
            </a:graphic>
          </wp:inline>
        </w:drawing>
      </w:r>
    </w:p>
    <w:p w14:paraId="23BFABC8" w14:textId="0B2DE6B6" w:rsidR="000D4CBF" w:rsidRDefault="000D4CBF" w:rsidP="000D4CBF">
      <w:pPr>
        <w:spacing w:before="120" w:after="160"/>
        <w:jc w:val="center"/>
        <w:rPr>
          <w:rFonts w:cs="Segoe UI"/>
          <w:color w:val="5A697D"/>
          <w:sz w:val="18"/>
        </w:rPr>
      </w:pPr>
      <w:r>
        <w:rPr>
          <w:rFonts w:cs="Segoe UI"/>
          <w:color w:val="5A697D"/>
          <w:sz w:val="18"/>
        </w:rPr>
        <w:t>Audit Logs - immutable audit records</w:t>
      </w:r>
    </w:p>
    <w:p w14:paraId="29575C56" w14:textId="177E0DF6" w:rsidR="000D4CBF" w:rsidRDefault="000D4CBF" w:rsidP="000D4CBF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3. Logical Flow (Change)</w:t>
      </w:r>
    </w:p>
    <w:p w14:paraId="0C5092F2" w14:textId="568AC044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1. User creates a change request (script) from the web interface</w:t>
      </w:r>
    </w:p>
    <w:p w14:paraId="01176363" w14:textId="06FC5FD3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2. API parses the script, validates with 84+ rules and produces a 0-100 risk score</w:t>
      </w:r>
    </w:p>
    <w:p w14:paraId="3AFAC32F" w14:textId="4F503D64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3. Policy engine determines approval steps by server/environment/type</w:t>
      </w:r>
    </w:p>
    <w:p w14:paraId="1DB1D2A3" w14:textId="44D76E43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4. Authorized approvers approve by role</w:t>
      </w:r>
    </w:p>
    <w:p w14:paraId="01C07D99" w14:textId="7E0D0D3E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5. Optional: pre-validate with run and roll back in the sandbox</w:t>
      </w:r>
    </w:p>
    <w:p w14:paraId="10BC5562" w14:textId="218D7FD3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6. Worker or user executes the approved change on the target database in a single transaction</w:t>
      </w:r>
    </w:p>
    <w:p w14:paraId="1F1C1A30" w14:textId="792AADAA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7. Result and all steps are written to the immutable audit</w:t>
      </w:r>
    </w:p>
    <w:p w14:paraId="667ECBFA" w14:textId="77777777" w:rsidR="000D4CBF" w:rsidRDefault="000D4CBF" w:rsidP="000D4CBF">
      <w:pPr>
        <w:spacing w:after="60"/>
        <w:rPr>
          <w:rFonts w:cs="Segoe UI"/>
        </w:rPr>
      </w:pPr>
    </w:p>
    <w:p w14:paraId="7F888EC0" w14:textId="34D965B2" w:rsidR="000D4CBF" w:rsidRDefault="000D4CBF" w:rsidP="000D4CBF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4. Logical Flow (Production Query)</w:t>
      </w:r>
    </w:p>
    <w:p w14:paraId="2C31891C" w14:textId="73413B12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1. User creates a production query (SELECT) request</w:t>
      </w:r>
    </w:p>
    <w:p w14:paraId="6E771A22" w14:textId="2CAA4169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2. Policy engine decides approval and masking based on critical table/sensitive column</w:t>
      </w:r>
    </w:p>
    <w:p w14:paraId="7382748E" w14:textId="18936911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3. Required approvals are obtained (DB Admin, security, extra approval for unmasked data)</w:t>
      </w:r>
    </w:p>
    <w:p w14:paraId="2EC9F89C" w14:textId="38ADFBF8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4. The query runs; sensitive columns are masked</w:t>
      </w:r>
    </w:p>
    <w:p w14:paraId="20385230" w14:textId="78202958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5. The result is delivered as an encrypted ZIP; download reason and record are kept</w:t>
      </w:r>
    </w:p>
    <w:p w14:paraId="7B592074" w14:textId="7E88CD6F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6. The whole process is written to the audit and QR masking log</w:t>
      </w:r>
    </w:p>
    <w:p w14:paraId="2368A1C2" w14:textId="77777777" w:rsidR="000D4CBF" w:rsidRDefault="000D4CBF" w:rsidP="000D4CBF">
      <w:pPr>
        <w:spacing w:after="60"/>
        <w:rPr>
          <w:rFonts w:cs="Segoe UI"/>
        </w:rPr>
      </w:pPr>
    </w:p>
    <w:p w14:paraId="5C5F459B" w14:textId="4DFE3A34" w:rsidR="000D4CBF" w:rsidRDefault="000D4CBF">
      <w:pPr>
        <w:spacing w:after="160" w:line="278" w:lineRule="auto"/>
        <w:rPr>
          <w:rFonts w:cs="Segoe UI"/>
        </w:rPr>
      </w:pPr>
      <w:r>
        <w:rPr>
          <w:rFonts w:cs="Segoe UI"/>
        </w:rPr>
        <w:br w:type="page"/>
      </w:r>
    </w:p>
    <w:p w14:paraId="2D0BBDC6" w14:textId="367C2973" w:rsidR="000D4CBF" w:rsidRDefault="000D4CBF" w:rsidP="000D4CBF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5. Network Topology</w:t>
      </w:r>
    </w:p>
    <w:p w14:paraId="7450584F" w14:textId="4958CF0D" w:rsidR="000D4CBF" w:rsidRDefault="000D4CBF" w:rsidP="000D4CBF">
      <w:pPr>
        <w:rPr>
          <w:rFonts w:cs="Segoe UI"/>
        </w:rPr>
      </w:pPr>
      <w:r>
        <w:rPr>
          <w:rFonts w:cs="Segoe UI"/>
        </w:rPr>
        <w:t>All components sit within the corporate network; no internet connection is required.</w:t>
      </w:r>
    </w:p>
    <w:p w14:paraId="3B383EE6" w14:textId="4602293A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Clients to Web/API (HTTPS)</w:t>
      </w:r>
    </w:p>
    <w:p w14:paraId="4E336FC3" w14:textId="6728E4A0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API to application SQL Server (management data)</w:t>
      </w:r>
    </w:p>
    <w:p w14:paraId="3BAC70E2" w14:textId="23F713C2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API to immutable audit database (audit)</w:t>
      </w:r>
    </w:p>
    <w:p w14:paraId="032D3573" w14:textId="504F3C71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API / Worker to target databases (SQL Server, PostgreSQL, Oracle)</w:t>
      </w:r>
    </w:p>
    <w:p w14:paraId="33803180" w14:textId="57089B93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API to LDAP/AD (identity) and SMTP (notification)</w:t>
      </w:r>
    </w:p>
    <w:p w14:paraId="79418D3A" w14:textId="77777777" w:rsidR="000D4CBF" w:rsidRDefault="000D4CBF" w:rsidP="000D4CBF">
      <w:pPr>
        <w:spacing w:after="60"/>
        <w:rPr>
          <w:rFonts w:cs="Segoe UI"/>
        </w:rPr>
      </w:pPr>
    </w:p>
    <w:p w14:paraId="75EF29A6" w14:textId="54DEE40C" w:rsidR="000D4CBF" w:rsidRDefault="000D4CBF" w:rsidP="000D4CBF">
      <w:pPr>
        <w:spacing w:before="120" w:after="40"/>
        <w:jc w:val="center"/>
        <w:rPr>
          <w:rFonts w:cs="Segoe UI"/>
        </w:rPr>
      </w:pPr>
      <w:r>
        <w:rPr>
          <w:rFonts w:cs="Segoe UI"/>
          <w:noProof/>
        </w:rPr>
        <w:drawing>
          <wp:inline distT="0" distB="0" distL="0" distR="0" wp14:anchorId="05DF9447" wp14:editId="3BA72E3B">
            <wp:extent cx="5715000" cy="2813811"/>
            <wp:effectExtent l="19050" t="19050" r="19050" b="24765"/>
            <wp:docPr id="18337962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79625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13811"/>
                    </a:xfrm>
                    <a:prstGeom prst="rect">
                      <a:avLst/>
                    </a:prstGeom>
                    <a:ln w="9525">
                      <a:solidFill>
                        <a:srgbClr val="D2D9E2"/>
                      </a:solidFill>
                    </a:ln>
                  </pic:spPr>
                </pic:pic>
              </a:graphicData>
            </a:graphic>
          </wp:inline>
        </w:drawing>
      </w:r>
    </w:p>
    <w:p w14:paraId="13128CBB" w14:textId="49ADA91D" w:rsidR="000D4CBF" w:rsidRDefault="000D4CBF" w:rsidP="000D4CBF">
      <w:pPr>
        <w:spacing w:before="120" w:after="160"/>
        <w:jc w:val="center"/>
        <w:rPr>
          <w:rFonts w:cs="Segoe UI"/>
          <w:color w:val="5A697D"/>
          <w:sz w:val="18"/>
        </w:rPr>
      </w:pPr>
      <w:r>
        <w:rPr>
          <w:rFonts w:cs="Segoe UI"/>
          <w:color w:val="5A697D"/>
          <w:sz w:val="18"/>
        </w:rPr>
        <w:t>Server Management - multiple SQL Server / PostgreSQL / Oracle in one place</w:t>
      </w:r>
    </w:p>
    <w:p w14:paraId="271B2A90" w14:textId="583C93FA" w:rsidR="000D4CBF" w:rsidRDefault="000D4CBF" w:rsidP="000D4CBF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6. High Availability and Recovery</w:t>
      </w:r>
    </w:p>
    <w:p w14:paraId="24351F9C" w14:textId="18E37CCC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Single-transaction executor: all steps of a request under one transaction; rolled back on failure (SS/PG)</w:t>
      </w:r>
    </w:p>
    <w:p w14:paraId="6AA8B1FA" w14:textId="4EF3F0F8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Oracle atomicity: because DDL implicit-commits, Oracle changes containing implicit-commit statements require a rollback, which can be prepared automatically</w:t>
      </w:r>
    </w:p>
    <w:p w14:paraId="0D79D587" w14:textId="4B37B448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Immutable audit: records are integrity-protected by a hash chain</w:t>
      </w:r>
    </w:p>
    <w:p w14:paraId="6FF78F2B" w14:textId="305FA225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Application and immutable databases can be protected with standard backup/replication</w:t>
      </w:r>
    </w:p>
    <w:p w14:paraId="1EBF66FA" w14:textId="77777777" w:rsidR="000D4CBF" w:rsidRDefault="000D4CBF" w:rsidP="000D4CBF">
      <w:pPr>
        <w:spacing w:after="60"/>
        <w:rPr>
          <w:rFonts w:cs="Segoe UI"/>
        </w:rPr>
      </w:pPr>
    </w:p>
    <w:p w14:paraId="7F7AFB3B" w14:textId="2C04F03C" w:rsidR="000D4CBF" w:rsidRDefault="000D4CBF" w:rsidP="000D4CBF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7. Contact</w:t>
      </w:r>
    </w:p>
    <w:p w14:paraId="720C6C8B" w14:textId="461EC384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Web: www.sqlchangeguard.com</w:t>
      </w:r>
    </w:p>
    <w:p w14:paraId="116E19E0" w14:textId="7898EAC0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Email: onur.egilmez@sqlchangeguard.com  |  info@sqlchangeguard.com</w:t>
      </w:r>
    </w:p>
    <w:p w14:paraId="57E38802" w14:textId="5AF69BAE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Phone: +90 505 621 29 02</w:t>
      </w:r>
    </w:p>
    <w:p w14:paraId="5FAEF90F" w14:textId="43919245" w:rsidR="000D4CBF" w:rsidRDefault="000D4CBF" w:rsidP="000D4CB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LinkedIn: linkedin.com/company/sqlchangeguard</w:t>
      </w:r>
    </w:p>
    <w:p w14:paraId="5692964F" w14:textId="77777777" w:rsidR="000D4CBF" w:rsidRDefault="000D4CBF" w:rsidP="000D4CBF">
      <w:pPr>
        <w:spacing w:after="60"/>
        <w:rPr>
          <w:rFonts w:cs="Segoe UI"/>
        </w:rPr>
      </w:pPr>
    </w:p>
    <w:p w14:paraId="388DDBA0" w14:textId="77777777" w:rsidR="000D4CBF" w:rsidRPr="000D4CBF" w:rsidRDefault="000D4CBF" w:rsidP="000D4CBF">
      <w:pPr>
        <w:spacing w:after="60"/>
        <w:rPr>
          <w:rFonts w:cs="Segoe UI"/>
        </w:rPr>
      </w:pPr>
    </w:p>
    <w:sectPr w:rsidR="000D4CBF" w:rsidRPr="000D4CBF" w:rsidSect="000D4C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00" w:right="1280" w:bottom="1200" w:left="12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2FA48" w14:textId="77777777" w:rsidR="00ED00F5" w:rsidRDefault="00ED00F5" w:rsidP="000D4CBF">
      <w:pPr>
        <w:spacing w:after="0"/>
      </w:pPr>
      <w:r>
        <w:separator/>
      </w:r>
    </w:p>
  </w:endnote>
  <w:endnote w:type="continuationSeparator" w:id="0">
    <w:p w14:paraId="422D22BD" w14:textId="77777777" w:rsidR="00ED00F5" w:rsidRDefault="00ED00F5" w:rsidP="000D4C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0A5DB" w14:textId="77777777" w:rsidR="000D4CBF" w:rsidRDefault="000D4C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94F4" w14:textId="26879D38" w:rsidR="000D4CBF" w:rsidRPr="000D4CBF" w:rsidRDefault="000D4CBF" w:rsidP="000D4CBF">
    <w:pPr>
      <w:pStyle w:val="Footer"/>
      <w:jc w:val="center"/>
      <w:rPr>
        <w:rFonts w:cs="Segoe UI"/>
        <w:color w:val="5A697D"/>
        <w:sz w:val="16"/>
      </w:rPr>
    </w:pPr>
    <w:r>
      <w:rPr>
        <w:rFonts w:cs="Segoe UI"/>
        <w:color w:val="5A697D"/>
        <w:sz w:val="16"/>
      </w:rPr>
      <w:t>SQL Change Guard  |  Database Operations Governance Platform  |  sqlchangeguard.com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E7B9" w14:textId="77777777" w:rsidR="000D4CBF" w:rsidRDefault="000D4C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DFD66" w14:textId="77777777" w:rsidR="00ED00F5" w:rsidRDefault="00ED00F5" w:rsidP="000D4CBF">
      <w:pPr>
        <w:spacing w:after="0"/>
      </w:pPr>
      <w:r>
        <w:separator/>
      </w:r>
    </w:p>
  </w:footnote>
  <w:footnote w:type="continuationSeparator" w:id="0">
    <w:p w14:paraId="67248EDC" w14:textId="77777777" w:rsidR="00ED00F5" w:rsidRDefault="00ED00F5" w:rsidP="000D4C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73821" w14:textId="77777777" w:rsidR="000D4CBF" w:rsidRDefault="000D4C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D106C" w14:textId="77777777" w:rsidR="000D4CBF" w:rsidRDefault="000D4C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A834A" w14:textId="77777777" w:rsidR="000D4CBF" w:rsidRDefault="000D4C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CBF"/>
    <w:rsid w:val="000279E4"/>
    <w:rsid w:val="000D4CBF"/>
    <w:rsid w:val="003D4FD6"/>
    <w:rsid w:val="00511DDA"/>
    <w:rsid w:val="006F2242"/>
    <w:rsid w:val="007F0E99"/>
    <w:rsid w:val="009207C9"/>
    <w:rsid w:val="00ED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A22D5"/>
  <w15:chartTrackingRefBased/>
  <w15:docId w15:val="{D9999F98-679C-4337-B997-D16E2A28D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40" w:lineRule="auto"/>
    </w:pPr>
    <w:rPr>
      <w:rFonts w:ascii="Segoe UI" w:hAnsi="Segoe UI"/>
      <w:color w:val="1E293B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4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C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C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C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C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C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C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C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C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C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C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C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C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C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C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C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C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C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4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4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4C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C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4C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C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C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CB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4CBF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D4CBF"/>
    <w:rPr>
      <w:rFonts w:ascii="Segoe UI" w:hAnsi="Segoe UI"/>
      <w:color w:val="1E293B"/>
      <w:sz w:val="22"/>
    </w:rPr>
  </w:style>
  <w:style w:type="paragraph" w:styleId="Footer">
    <w:name w:val="footer"/>
    <w:basedOn w:val="Normal"/>
    <w:link w:val="FooterChar"/>
    <w:uiPriority w:val="99"/>
    <w:unhideWhenUsed/>
    <w:rsid w:val="000D4CBF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D4CBF"/>
    <w:rPr>
      <w:rFonts w:ascii="Segoe UI" w:hAnsi="Segoe UI"/>
      <w:color w:val="1E293B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eğilmez</dc:creator>
  <cp:keywords/>
  <dc:description/>
  <cp:lastModifiedBy>onur eğilmez</cp:lastModifiedBy>
  <cp:revision>1</cp:revision>
  <dcterms:created xsi:type="dcterms:W3CDTF">2026-07-13T18:32:00Z</dcterms:created>
  <dcterms:modified xsi:type="dcterms:W3CDTF">2026-07-13T18:32:00Z</dcterms:modified>
</cp:coreProperties>
</file>