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A7842" w14:textId="77777777" w:rsidR="007F0E99" w:rsidRDefault="007F0E99"/>
    <w:p w14:paraId="251CF19A" w14:textId="77777777" w:rsidR="005A1F3F" w:rsidRDefault="005A1F3F"/>
    <w:p w14:paraId="1C825FE8" w14:textId="77777777" w:rsidR="005A1F3F" w:rsidRDefault="005A1F3F"/>
    <w:p w14:paraId="0A0A9C3B" w14:textId="77777777" w:rsidR="005A1F3F" w:rsidRDefault="005A1F3F"/>
    <w:p w14:paraId="4035F7DC" w14:textId="71728ABC" w:rsidR="005A1F3F" w:rsidRDefault="005A1F3F" w:rsidP="005A1F3F">
      <w:pPr>
        <w:jc w:val="center"/>
        <w:rPr>
          <w:rFonts w:ascii="Segoe UI Semibold" w:hAnsi="Segoe UI Semibold"/>
          <w:b/>
          <w:color w:val="0F2544"/>
          <w:sz w:val="68"/>
        </w:rPr>
      </w:pPr>
      <w:r>
        <w:rPr>
          <w:rFonts w:ascii="Segoe UI Semibold" w:hAnsi="Segoe UI Semibold"/>
          <w:b/>
          <w:color w:val="0F2544"/>
          <w:sz w:val="68"/>
        </w:rPr>
        <w:t>SQL Change Guard</w:t>
      </w:r>
    </w:p>
    <w:p w14:paraId="2DC0DE02" w14:textId="5B11BDCE" w:rsidR="005A1F3F" w:rsidRDefault="005A1F3F" w:rsidP="005A1F3F">
      <w:pPr>
        <w:spacing w:after="80"/>
        <w:jc w:val="center"/>
        <w:rPr>
          <w:rFonts w:cs="Segoe UI"/>
          <w:sz w:val="32"/>
        </w:rPr>
      </w:pPr>
      <w:r>
        <w:rPr>
          <w:rFonts w:cs="Segoe UI"/>
          <w:sz w:val="32"/>
        </w:rPr>
        <w:t>Sistem Mimarisi ve Topoloji</w:t>
      </w:r>
    </w:p>
    <w:p w14:paraId="13D4BB44" w14:textId="6320CA7C" w:rsidR="005A1F3F" w:rsidRDefault="005A1F3F" w:rsidP="005A1F3F">
      <w:pPr>
        <w:spacing w:after="80"/>
        <w:jc w:val="center"/>
        <w:rPr>
          <w:rFonts w:ascii="Arial" w:hAnsi="Arial" w:cs="Arial"/>
          <w:color w:val="0F2544"/>
          <w:sz w:val="24"/>
        </w:rPr>
      </w:pPr>
      <w:r>
        <w:rPr>
          <w:rFonts w:ascii="Arial" w:hAnsi="Arial" w:cs="Arial"/>
          <w:color w:val="0F2544"/>
          <w:sz w:val="24"/>
        </w:rPr>
        <w:t>────────────────────────</w:t>
      </w:r>
    </w:p>
    <w:p w14:paraId="63ED56AC" w14:textId="2322F40E" w:rsidR="005A1F3F" w:rsidRDefault="005A1F3F" w:rsidP="005A1F3F">
      <w:pPr>
        <w:spacing w:before="120" w:after="80"/>
        <w:jc w:val="center"/>
        <w:rPr>
          <w:rFonts w:cs="Segoe UI"/>
          <w:color w:val="5A697D"/>
          <w:sz w:val="24"/>
        </w:rPr>
      </w:pPr>
      <w:r>
        <w:rPr>
          <w:rFonts w:cs="Segoe UI"/>
          <w:color w:val="5A697D"/>
          <w:sz w:val="24"/>
        </w:rPr>
        <w:t>Bileşenler, Veri Akışı ve Dağıtım</w:t>
      </w:r>
    </w:p>
    <w:p w14:paraId="15095756" w14:textId="22684607" w:rsidR="005A1F3F" w:rsidRDefault="005A1F3F" w:rsidP="005A1F3F">
      <w:pPr>
        <w:spacing w:before="480" w:after="0"/>
        <w:jc w:val="center"/>
        <w:rPr>
          <w:rFonts w:cs="Segoe UI"/>
          <w:color w:val="5A697D"/>
          <w:sz w:val="20"/>
        </w:rPr>
      </w:pPr>
      <w:r>
        <w:rPr>
          <w:rFonts w:cs="Segoe UI"/>
          <w:color w:val="5A697D"/>
          <w:sz w:val="20"/>
        </w:rPr>
        <w:t>On-premise  |  SQL Server  |  PostgreSQL  |  Oracle</w:t>
      </w:r>
    </w:p>
    <w:p w14:paraId="332A86B7" w14:textId="017EDB26" w:rsidR="005A1F3F" w:rsidRDefault="005A1F3F">
      <w:pPr>
        <w:spacing w:after="160" w:line="278" w:lineRule="auto"/>
        <w:rPr>
          <w:rFonts w:cs="Segoe UI"/>
          <w:color w:val="5A697D"/>
          <w:sz w:val="20"/>
        </w:rPr>
      </w:pPr>
      <w:r>
        <w:rPr>
          <w:rFonts w:cs="Segoe UI"/>
          <w:color w:val="5A697D"/>
          <w:sz w:val="20"/>
        </w:rPr>
        <w:br w:type="page"/>
      </w:r>
    </w:p>
    <w:p w14:paraId="7AA9EAE9" w14:textId="63A5EFFE" w:rsidR="005A1F3F" w:rsidRDefault="005A1F3F" w:rsidP="005A1F3F">
      <w:pPr>
        <w:spacing w:before="280"/>
        <w:rPr>
          <w:rFonts w:ascii="Segoe UI Semibold" w:hAnsi="Segoe UI Semibold" w:cs="Segoe UI Semibold"/>
          <w:b/>
          <w:color w:val="0F2544"/>
          <w:sz w:val="40"/>
        </w:rPr>
      </w:pPr>
      <w:r>
        <w:rPr>
          <w:rFonts w:ascii="Segoe UI Semibold" w:hAnsi="Segoe UI Semibold" w:cs="Segoe UI Semibold"/>
          <w:b/>
          <w:color w:val="0F2544"/>
          <w:sz w:val="40"/>
        </w:rPr>
        <w:lastRenderedPageBreak/>
        <w:t>1. Bileşen Mimarisi</w:t>
      </w:r>
    </w:p>
    <w:p w14:paraId="1F29A39E" w14:textId="1B76A98F" w:rsidR="005A1F3F" w:rsidRDefault="005A1F3F" w:rsidP="005A1F3F">
      <w:pPr>
        <w:rPr>
          <w:rFonts w:cs="Segoe UI"/>
        </w:rPr>
      </w:pPr>
      <w:r>
        <w:rPr>
          <w:rFonts w:cs="Segoe UI"/>
        </w:rPr>
        <w:t>SQL Change Guard üç ana çalışma zamanı bileşeninden oluşur; hepsi kurum ağı içinde çalışır.</w:t>
      </w:r>
    </w:p>
    <w:p w14:paraId="4D1BC9F2" w14:textId="4B87F7A8" w:rsidR="005A1F3F" w:rsidRDefault="005A1F3F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Web Arayüzü (React): kullanıcıların değişiklik ve sorgu taleplerini yönettiği sunum katmanı</w:t>
      </w:r>
    </w:p>
    <w:p w14:paraId="144F0193" w14:textId="4402E513" w:rsidR="005A1F3F" w:rsidRDefault="00E072E4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REST API (.NET 10): iş kuralları, yetkilendirme, parse, risk bandı belirleme, policy engine ve audit motorunun bulunduğu çekirdek</w:t>
      </w:r>
    </w:p>
    <w:p w14:paraId="22C7432A" w14:textId="2A8E2B74" w:rsidR="005A1F3F" w:rsidRDefault="00E072E4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Worker (Windows Service, Quartz): onaylı talep ve paketlerin hedefte çalıştırılması (elle başlatılanlar dahil), zamanlanmış çalıştırma, kanıt sınırı denetimi ve defter özeti gibi arka plan işleri</w:t>
      </w:r>
    </w:p>
    <w:p w14:paraId="4472AD90" w14:textId="77777777" w:rsidR="005A1F3F" w:rsidRDefault="005A1F3F" w:rsidP="005A1F3F">
      <w:pPr>
        <w:spacing w:after="60"/>
        <w:rPr>
          <w:rFonts w:cs="Segoe UI"/>
        </w:rPr>
      </w:pPr>
    </w:p>
    <w:p w14:paraId="0DA2D53B" w14:textId="3ADAF7E6" w:rsidR="005A1F3F" w:rsidRDefault="005A1F3F" w:rsidP="005A1F3F">
      <w:pPr>
        <w:spacing w:before="160" w:after="160"/>
        <w:ind w:left="160"/>
        <w:rPr>
          <w:rFonts w:cs="Segoe UI"/>
          <w:b/>
          <w:color w:val="0F2544"/>
        </w:rPr>
      </w:pPr>
      <w:r>
        <w:rPr>
          <w:rFonts w:cs="Segoe UI"/>
          <w:b/>
          <w:color w:val="0F2544"/>
        </w:rPr>
        <w:t>İş mantığı yalnızca backend'dedir. UI kontrolü tek başına güvenlik olarak kabul edilmez; tüm kurallar API tarafında tekrar doğrulanır.</w:t>
      </w:r>
    </w:p>
    <w:p w14:paraId="27BBFA53" w14:textId="717EFFAA" w:rsidR="005A1F3F" w:rsidRDefault="005A1F3F" w:rsidP="005A1F3F">
      <w:pPr>
        <w:spacing w:before="280"/>
        <w:rPr>
          <w:rFonts w:ascii="Segoe UI Semibold" w:hAnsi="Segoe UI Semibold" w:cs="Segoe UI Semibold"/>
          <w:b/>
          <w:color w:val="0F2544"/>
          <w:sz w:val="40"/>
        </w:rPr>
      </w:pPr>
      <w:r>
        <w:rPr>
          <w:rFonts w:ascii="Segoe UI Semibold" w:hAnsi="Segoe UI Semibold" w:cs="Segoe UI Semibold"/>
          <w:b/>
          <w:color w:val="0F2544"/>
          <w:sz w:val="40"/>
        </w:rPr>
        <w:t>2. Veri Katmanları</w:t>
      </w:r>
    </w:p>
    <w:p w14:paraId="4ED5B2A2" w14:textId="40BA6248" w:rsidR="005A1F3F" w:rsidRDefault="00E072E4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Uygulama veritabanı (SQL Server 2022 ve sonrası): talepler, scriptler, onaylar, roller, parametreler, policy tanımları, raporlar. Denetim kayıtları evidence şemasındaki append-only defter (ledger) tablosundadır; veritabanı motoru bu tabloda UPDATE ve DELETE işlemlerini reddeder; tabloya yalnız tek bir yazma yordamıyla yazılır</w:t>
      </w:r>
    </w:p>
    <w:p w14:paraId="3E50499D" w14:textId="3762C494" w:rsidR="005A1F3F" w:rsidRDefault="00E072E4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Defter özeti klasörü: </w:t>
      </w:r>
      <w:r w:rsidR="00FD0761">
        <w:rPr>
          <w:rFonts w:cs="Segoe UI"/>
          <w:color w:val="0F2544"/>
        </w:rPr>
        <w:t>API'nin defter özetlerini (imza açıksa imzalı) yazdığı klasör</w:t>
      </w:r>
      <w:r>
        <w:rPr>
          <w:rFonts w:cs="Segoe UI"/>
          <w:color w:val="0F2544"/>
        </w:rPr>
        <w:t xml:space="preserve"> (Evidence:Ledger:DigestOutputPath). Klasörün değiştirilemez bir depoda (WORM gibi) ve veritabanı yöneticisinin yazamayacağı bir yerde olması kurumun sağlamasıdır</w:t>
      </w:r>
    </w:p>
    <w:p w14:paraId="2F5D8DF9" w14:textId="5F57379B" w:rsidR="005A1F3F" w:rsidRDefault="005A1F3F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Hedef veritabanları (SQL Server / PostgreSQL / Oracle): değişikliklerin uygulandığı ve sorguların çalıştığı canlı sistemler</w:t>
      </w:r>
    </w:p>
    <w:p w14:paraId="1A159829" w14:textId="77777777" w:rsidR="005A1F3F" w:rsidRDefault="005A1F3F" w:rsidP="005A1F3F">
      <w:pPr>
        <w:spacing w:after="60"/>
        <w:rPr>
          <w:rFonts w:cs="Segoe UI"/>
        </w:rPr>
      </w:pPr>
    </w:p>
    <w:p w14:paraId="136624B6" w14:textId="66657D66" w:rsidR="005A1F3F" w:rsidRDefault="005A1F3F" w:rsidP="005A1F3F">
      <w:pPr>
        <w:spacing w:before="120" w:after="40"/>
        <w:jc w:val="center"/>
        <w:rPr>
          <w:rFonts w:cs="Segoe UI"/>
        </w:rPr>
      </w:pPr>
      <w:r>
        <w:rPr>
          <w:rFonts w:cs="Segoe UI"/>
          <w:noProof/>
        </w:rPr>
        <w:drawing>
          <wp:inline distT="0" distB="0" distL="0" distR="0" wp14:anchorId="5E88A0F2" wp14:editId="1D9E147A">
            <wp:extent cx="5715000" cy="2826209"/>
            <wp:effectExtent l="19050" t="19050" r="19050" b="12700"/>
            <wp:docPr id="3701477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147756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826209"/>
                    </a:xfrm>
                    <a:prstGeom prst="rect">
                      <a:avLst/>
                    </a:prstGeom>
                    <a:ln w="9525">
                      <a:solidFill>
                        <a:srgbClr val="D2D9E2"/>
                      </a:solidFill>
                    </a:ln>
                  </pic:spPr>
                </pic:pic>
              </a:graphicData>
            </a:graphic>
          </wp:inline>
        </w:drawing>
      </w:r>
    </w:p>
    <w:p w14:paraId="35015D49" w14:textId="3A94B425" w:rsidR="005A1F3F" w:rsidRDefault="00E072E4" w:rsidP="005A1F3F">
      <w:pPr>
        <w:spacing w:before="120" w:after="160"/>
        <w:jc w:val="center"/>
        <w:rPr>
          <w:rFonts w:cs="Segoe UI"/>
          <w:color w:val="5A697D"/>
          <w:sz w:val="18"/>
        </w:rPr>
      </w:pPr>
      <w:r>
        <w:rPr>
          <w:rFonts w:cs="Segoe UI"/>
          <w:color w:val="5A697D"/>
          <w:sz w:val="18"/>
        </w:rPr>
        <w:t>Audit Logs - append-only denetim kayıtları</w:t>
      </w:r>
    </w:p>
    <w:p w14:paraId="50BB71EC" w14:textId="420E4087" w:rsidR="005A1F3F" w:rsidRDefault="005A1F3F" w:rsidP="005A1F3F">
      <w:pPr>
        <w:spacing w:before="280"/>
        <w:rPr>
          <w:rFonts w:ascii="Segoe UI Semibold" w:hAnsi="Segoe UI Semibold" w:cs="Segoe UI Semibold"/>
          <w:b/>
          <w:color w:val="0F2544"/>
          <w:sz w:val="40"/>
        </w:rPr>
      </w:pPr>
      <w:r>
        <w:rPr>
          <w:rFonts w:ascii="Segoe UI Semibold" w:hAnsi="Segoe UI Semibold" w:cs="Segoe UI Semibold"/>
          <w:b/>
          <w:color w:val="0F2544"/>
          <w:sz w:val="40"/>
        </w:rPr>
        <w:lastRenderedPageBreak/>
        <w:t>3. Mantıksal Akış (Change)</w:t>
      </w:r>
    </w:p>
    <w:p w14:paraId="017B9533" w14:textId="098401CA" w:rsidR="005A1F3F" w:rsidRDefault="005A1F3F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1. Kullanıcı web arayüzünden değişiklik talebi (script) oluşturur</w:t>
      </w:r>
    </w:p>
    <w:p w14:paraId="06AB2E38" w14:textId="3EE566C7" w:rsidR="005A1F3F" w:rsidRDefault="00E072E4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2. API script'i parse eder, 88 SQL standardıyla doğrular ve risk bandını (Info, Low, Medium, High, Critical) belirler</w:t>
      </w:r>
    </w:p>
    <w:p w14:paraId="5CF2B04C" w14:textId="04DD8AC7" w:rsidR="005A1F3F" w:rsidRDefault="005A1F3F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3. Policy engine sunucu/ortam/tip'e göre onay adımlarını belirler</w:t>
      </w:r>
    </w:p>
    <w:p w14:paraId="202E023E" w14:textId="6F466A72" w:rsidR="005A1F3F" w:rsidRDefault="005A1F3F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4. Yetkili onaylayıcılar rol bazlı olarak onaylar</w:t>
      </w:r>
    </w:p>
    <w:p w14:paraId="5A9EF275" w14:textId="07420555" w:rsidR="005A1F3F" w:rsidRDefault="005A1F3F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5. İsteğe bağlı: sandbox'ta çalıştır ve geri al ile ön doğrulama</w:t>
      </w:r>
    </w:p>
    <w:p w14:paraId="644E5F70" w14:textId="450CE782" w:rsidR="005A1F3F" w:rsidRDefault="00E072E4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6. Kullanıcı ya da zamanlama çalıştırmayı başlatır; Worker, onaylanan içerikle çalışacak içeriğin aynı olduğunu denetledikten sonra değişikliği hedef veritabanında tek transaction ile çalıştırır (Oracle'da örtük COMMIT yapan ifadeler bu transaction'ın dışında kalır)</w:t>
      </w:r>
    </w:p>
    <w:p w14:paraId="1370962C" w14:textId="73AB9EC5" w:rsidR="005A1F3F" w:rsidRDefault="00E538EB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7. Sonuç ve tüm adımlar kanıt defterine yazılır</w:t>
      </w:r>
    </w:p>
    <w:p w14:paraId="23399BB8" w14:textId="77777777" w:rsidR="005A1F3F" w:rsidRDefault="005A1F3F" w:rsidP="005A1F3F">
      <w:pPr>
        <w:spacing w:after="60"/>
        <w:rPr>
          <w:rFonts w:cs="Segoe UI"/>
        </w:rPr>
      </w:pPr>
    </w:p>
    <w:p w14:paraId="494F2ADF" w14:textId="7D2C9589" w:rsidR="005A1F3F" w:rsidRDefault="005A1F3F" w:rsidP="005A1F3F">
      <w:pPr>
        <w:spacing w:before="280"/>
        <w:rPr>
          <w:rFonts w:ascii="Segoe UI Semibold" w:hAnsi="Segoe UI Semibold" w:cs="Segoe UI Semibold"/>
          <w:b/>
          <w:color w:val="0F2544"/>
          <w:sz w:val="40"/>
        </w:rPr>
      </w:pPr>
      <w:r>
        <w:rPr>
          <w:rFonts w:ascii="Segoe UI Semibold" w:hAnsi="Segoe UI Semibold" w:cs="Segoe UI Semibold"/>
          <w:b/>
          <w:color w:val="0F2544"/>
          <w:sz w:val="40"/>
        </w:rPr>
        <w:t>4. Mantıksal Akış (Production Query)</w:t>
      </w:r>
    </w:p>
    <w:p w14:paraId="49E872C2" w14:textId="63E1D4C7" w:rsidR="005A1F3F" w:rsidRDefault="005A1F3F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1. Kullanıcı production sorgu (SELECT) talebi oluşturur</w:t>
      </w:r>
    </w:p>
    <w:p w14:paraId="2327006B" w14:textId="570EE548" w:rsidR="005A1F3F" w:rsidRDefault="00E072E4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2. Onay politikası sunucu, ortam ve talep türüne göre adımları belirler; kolon önizlemesi hassas kolonları teslimden önce gösterir</w:t>
      </w:r>
    </w:p>
    <w:p w14:paraId="5BC7BBF5" w14:textId="2C02B230" w:rsidR="005A1F3F" w:rsidRDefault="00E072E4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3. Gerekli onaylar alınır (politikadaki adımlar; maskesiz kolon için ek onay, varsayılan onaylayan System Manager)</w:t>
      </w:r>
    </w:p>
    <w:p w14:paraId="48FAAB69" w14:textId="22831316" w:rsidR="005A1F3F" w:rsidRDefault="005A1F3F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4. Sorgu çalışır; hassas kolonlar maskelenir</w:t>
      </w:r>
    </w:p>
    <w:p w14:paraId="5D70FBF8" w14:textId="74C64D03" w:rsidR="005A1F3F" w:rsidRDefault="005A1F3F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5. Sonuç şifreli ZIP olarak teslim edilir; indirme gerekçesi ve indirme kaydı tutulur</w:t>
      </w:r>
    </w:p>
    <w:p w14:paraId="743FB187" w14:textId="40A7DE7A" w:rsidR="005A1F3F" w:rsidRDefault="005A1F3F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6. Tüm süreç audit ve QR maskeleme günlüğüne yazılır</w:t>
      </w:r>
    </w:p>
    <w:p w14:paraId="698BF9C7" w14:textId="77777777" w:rsidR="005A1F3F" w:rsidRDefault="005A1F3F" w:rsidP="005A1F3F">
      <w:pPr>
        <w:spacing w:after="60"/>
        <w:rPr>
          <w:rFonts w:cs="Segoe UI"/>
        </w:rPr>
      </w:pPr>
    </w:p>
    <w:p w14:paraId="51A9DAE8" w14:textId="7C3FD01E" w:rsidR="005A1F3F" w:rsidRDefault="005A1F3F">
      <w:pPr>
        <w:spacing w:after="160" w:line="278" w:lineRule="auto"/>
        <w:rPr>
          <w:rFonts w:cs="Segoe UI"/>
        </w:rPr>
      </w:pPr>
      <w:r>
        <w:rPr>
          <w:rFonts w:cs="Segoe UI"/>
        </w:rPr>
        <w:br w:type="page"/>
      </w:r>
    </w:p>
    <w:p w14:paraId="372006EF" w14:textId="62B6D85D" w:rsidR="005A1F3F" w:rsidRDefault="005A1F3F" w:rsidP="005A1F3F">
      <w:pPr>
        <w:spacing w:before="280"/>
        <w:rPr>
          <w:rFonts w:ascii="Segoe UI Semibold" w:hAnsi="Segoe UI Semibold" w:cs="Segoe UI Semibold"/>
          <w:b/>
          <w:color w:val="0F2544"/>
          <w:sz w:val="40"/>
        </w:rPr>
      </w:pPr>
      <w:r>
        <w:rPr>
          <w:rFonts w:ascii="Segoe UI Semibold" w:hAnsi="Segoe UI Semibold" w:cs="Segoe UI Semibold"/>
          <w:b/>
          <w:color w:val="0F2544"/>
          <w:sz w:val="40"/>
        </w:rPr>
        <w:lastRenderedPageBreak/>
        <w:t>5. Ağ Topolojisi</w:t>
      </w:r>
    </w:p>
    <w:p w14:paraId="151684CA" w14:textId="1BF1061D" w:rsidR="005A1F3F" w:rsidRDefault="005A1F3F" w:rsidP="005A1F3F">
      <w:pPr>
        <w:rPr>
          <w:rFonts w:cs="Segoe UI"/>
        </w:rPr>
      </w:pPr>
      <w:r>
        <w:rPr>
          <w:rFonts w:cs="Segoe UI"/>
        </w:rPr>
        <w:t>Tüm bileşenler kurum ağında konumlanır; internet bağlantısı gerekmez.</w:t>
      </w:r>
    </w:p>
    <w:p w14:paraId="53B256C3" w14:textId="428DB5A9" w:rsidR="005A1F3F" w:rsidRDefault="005A1F3F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İstemciler → Web/API (HTTPS)</w:t>
      </w:r>
    </w:p>
    <w:p w14:paraId="0B69DDC9" w14:textId="4072E58A" w:rsidR="005A1F3F" w:rsidRDefault="00E072E4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API ve Worker → Uygulama SQL Server (yönetim verisi)</w:t>
      </w:r>
    </w:p>
    <w:p w14:paraId="04817025" w14:textId="38058304" w:rsidR="005A1F3F" w:rsidRDefault="00FD0761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API → Defter özeti klasörü (defter özetleri, imza açıksa imzalı; Worker bu klasöre erişmez)</w:t>
      </w:r>
    </w:p>
    <w:p w14:paraId="46B61E98" w14:textId="1EA4FE1F" w:rsidR="005A1F3F" w:rsidRDefault="005A1F3F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API / Worker → Hedef veritabanları (SQL Server, PostgreSQL, Oracle)</w:t>
      </w:r>
    </w:p>
    <w:p w14:paraId="64F945EF" w14:textId="64896A32" w:rsidR="005A1F3F" w:rsidRDefault="00E072E4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API → LDAP/AD ve kurum kimlik sağlayıcısı (OIDC/SAML) (kimlik), SMTP (bildirim) ve ITSM (isteğe bağlı); API ve Worker → SIEM (Syslog ya da dosya, isteğe bağlı); Worker → API (yapılandırma, canlılık ve imza istekleri)</w:t>
      </w:r>
    </w:p>
    <w:p w14:paraId="171D98CD" w14:textId="77777777" w:rsidR="005A1F3F" w:rsidRDefault="005A1F3F" w:rsidP="005A1F3F">
      <w:pPr>
        <w:spacing w:after="60"/>
        <w:rPr>
          <w:rFonts w:cs="Segoe UI"/>
        </w:rPr>
      </w:pPr>
    </w:p>
    <w:p w14:paraId="54222961" w14:textId="63057659" w:rsidR="005A1F3F" w:rsidRDefault="005A1F3F" w:rsidP="005A1F3F">
      <w:pPr>
        <w:spacing w:before="120" w:after="40"/>
        <w:jc w:val="center"/>
        <w:rPr>
          <w:rFonts w:cs="Segoe UI"/>
        </w:rPr>
      </w:pPr>
      <w:r>
        <w:rPr>
          <w:rFonts w:cs="Segoe UI"/>
          <w:noProof/>
        </w:rPr>
        <w:drawing>
          <wp:inline distT="0" distB="0" distL="0" distR="0" wp14:anchorId="639A2E63" wp14:editId="6B4DAACB">
            <wp:extent cx="5715000" cy="2813811"/>
            <wp:effectExtent l="19050" t="19050" r="19050" b="24765"/>
            <wp:docPr id="20966276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627649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813811"/>
                    </a:xfrm>
                    <a:prstGeom prst="rect">
                      <a:avLst/>
                    </a:prstGeom>
                    <a:ln w="9525">
                      <a:solidFill>
                        <a:srgbClr val="D2D9E2"/>
                      </a:solidFill>
                    </a:ln>
                  </pic:spPr>
                </pic:pic>
              </a:graphicData>
            </a:graphic>
          </wp:inline>
        </w:drawing>
      </w:r>
    </w:p>
    <w:p w14:paraId="244431C5" w14:textId="673622BD" w:rsidR="005A1F3F" w:rsidRDefault="005A1F3F" w:rsidP="005A1F3F">
      <w:pPr>
        <w:spacing w:before="120" w:after="160"/>
        <w:jc w:val="center"/>
        <w:rPr>
          <w:rFonts w:cs="Segoe UI"/>
          <w:color w:val="5A697D"/>
          <w:sz w:val="18"/>
        </w:rPr>
      </w:pPr>
      <w:r>
        <w:rPr>
          <w:rFonts w:cs="Segoe UI"/>
          <w:color w:val="5A697D"/>
          <w:sz w:val="18"/>
        </w:rPr>
        <w:t>Sunucu Yönetimi - çoklu SQL Server / PostgreSQL / Oracle tek yerden</w:t>
      </w:r>
    </w:p>
    <w:p w14:paraId="7642D6A2" w14:textId="7D30EF79" w:rsidR="005A1F3F" w:rsidRDefault="005A1F3F" w:rsidP="005A1F3F">
      <w:pPr>
        <w:spacing w:before="280"/>
        <w:rPr>
          <w:rFonts w:ascii="Segoe UI Semibold" w:hAnsi="Segoe UI Semibold" w:cs="Segoe UI Semibold"/>
          <w:b/>
          <w:color w:val="0F2544"/>
          <w:sz w:val="40"/>
        </w:rPr>
      </w:pPr>
      <w:r>
        <w:rPr>
          <w:rFonts w:ascii="Segoe UI Semibold" w:hAnsi="Segoe UI Semibold" w:cs="Segoe UI Semibold"/>
          <w:b/>
          <w:color w:val="0F2544"/>
          <w:sz w:val="40"/>
        </w:rPr>
        <w:t>6. Yüksek Erişilebilirlik ve Kurtarma</w:t>
      </w:r>
    </w:p>
    <w:p w14:paraId="4E4A9A4D" w14:textId="03C280F4" w:rsidR="005A1F3F" w:rsidRDefault="005A1F3F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Tek transaction executor: bir talebin tüm adımları tek transaction altında; hata durumunda geri alınır (SS/PG)</w:t>
      </w:r>
    </w:p>
    <w:p w14:paraId="59ACD467" w14:textId="72EC6FF9" w:rsidR="005A1F3F" w:rsidRDefault="00E072E4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Oracle: DDL, DCL ve TRUNCATE örtük COMMIT yaptığı için bu ifadeler transaction ile geri alınamaz; böyle ifade içeren Oracle değişikliklerinde geri alma planı zorunludur ve otomatik hazırlanabilir. PL/SQL bloklarında transaction izlenir, verinin kalıcı olup olmadığı belirsizse talep uzlaştırmaya alınır</w:t>
      </w:r>
    </w:p>
    <w:p w14:paraId="624F3815" w14:textId="4939683F" w:rsidR="005A1F3F" w:rsidRDefault="00E072E4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Denetim kaydı: defter tablosu kayıt değiştirmeyi ve silmeyi reddeder; </w:t>
      </w:r>
      <w:r w:rsidR="00FD0761">
        <w:rPr>
          <w:rFonts w:cs="Segoe UI"/>
          <w:color w:val="0F2544"/>
        </w:rPr>
        <w:t>Worker varsayılan olarak saatte bir özet turunu başlatır, API defter özetini (imza açıksa imzalı) yapılandırılan klasöre yazar</w:t>
      </w:r>
    </w:p>
    <w:p w14:paraId="1401BEC1" w14:textId="3ACDCE3A" w:rsidR="005A1F3F" w:rsidRDefault="00E072E4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Uygulama veritabanı standart yedekleme/replikasyon ile korunabilir; özet klasörü kurumun saklama politikasıyla korunur. Eski bir yedeğe dönülmesi ancak dış defter özetiyle karşılaştırmada fark edilir</w:t>
      </w:r>
    </w:p>
    <w:p w14:paraId="3328ADF2" w14:textId="77777777" w:rsidR="005A1F3F" w:rsidRDefault="005A1F3F" w:rsidP="005A1F3F">
      <w:pPr>
        <w:spacing w:after="60"/>
        <w:rPr>
          <w:rFonts w:cs="Segoe UI"/>
        </w:rPr>
      </w:pPr>
    </w:p>
    <w:p w14:paraId="513B42A8" w14:textId="77777777" w:rsidR="005A1F3F" w:rsidRDefault="005A1F3F" w:rsidP="005A1F3F">
      <w:pPr>
        <w:spacing w:before="280"/>
        <w:rPr>
          <w:rFonts w:ascii="Segoe UI Semibold" w:hAnsi="Segoe UI Semibold" w:cs="Segoe UI Semibold"/>
          <w:b/>
          <w:color w:val="0F2544"/>
          <w:sz w:val="40"/>
        </w:rPr>
      </w:pPr>
      <w:r>
        <w:rPr>
          <w:rFonts w:ascii="Segoe UI Semibold" w:hAnsi="Segoe UI Semibold" w:cs="Segoe UI Semibold"/>
          <w:b/>
          <w:color w:val="0F2544"/>
          <w:sz w:val="40"/>
        </w:rPr>
        <w:lastRenderedPageBreak/>
        <w:t>7. Hedef bağlantı, oturum yoklaması ve pencere olayları</w:t>
      </w:r>
    </w:p>
    <w:p w14:paraId="69790D28" w14:textId="77777777" w:rsidR="005A1F3F" w:rsidRDefault="005A1F3F" w:rsidP="005A1F3F">
      <w:pPr>
        <w:rPr>
          <w:rFonts w:cs="Segoe UI"/>
        </w:rPr>
      </w:pPr>
      <w:r>
        <w:rPr>
          <w:rFonts w:cs="Segoe UI"/>
        </w:rPr>
        <w:t>Ürün hedef veritabanına bağlanırken şu üç şeyi bırakır: bir oturum adı, sunucunun söylediği oturum numarası ile istemci adresi ve denetim izinde bir başlangıç ve bir bitiş olayı.</w:t>
      </w:r>
    </w:p>
    <w:p w14:paraId="63FAA779" w14:textId="77777777" w:rsidR="005A1F3F" w:rsidRDefault="005A1F3F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Bağlantı fabrikası: her hedef bağlantı SQL Change Guard/&lt;Rol&gt;/&lt;Numara&gt; adıyla açılır. Kimlik taşıyan beş rolde (Execute, Query, Release, Sandbox, SandboxRelease) havuz kapalıdır.</w:t>
      </w:r>
    </w:p>
    <w:p w14:paraId="21F7B509" w14:textId="77777777" w:rsidR="005A1F3F" w:rsidRDefault="005A1F3F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Oturum yoklaması: bağlantı açılınca hedefe tek bir okuma sorgusu atılır; oturum numarası ve hedefin gördüğü istemci adresi alınır. Her veritabanı türü için ayrı yoklayıcı vardır (SQL Server, PostgreSQL, Oracle).</w:t>
      </w:r>
    </w:p>
    <w:p w14:paraId="36E8D936" w14:textId="77777777" w:rsidR="005A1F3F" w:rsidRDefault="005A1F3F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Pencere kaydedici: Worker, başlangıç olayını bağlantı açıldıktan sonra, hedefte ve uygulama veritabanında işlem başlamadan önce yazar; bitiş olayını iş bitince yazar. Başlangıç yazılamazsa betik çalışmaz.</w:t>
      </w:r>
    </w:p>
    <w:p w14:paraId="1DE1B646" w14:textId="77777777" w:rsidR="005A1F3F" w:rsidRDefault="005A1F3F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API yalnız sandbox isteğini (SandboxRequested) yazar; hedefe iş yapan bağlantılar Worker'dadır. API'nin önizleme, tanım okuma ve bağlantı deneme bağlantıları pencere açmaz.</w:t>
      </w:r>
    </w:p>
    <w:p w14:paraId="771A641B" w14:textId="6FE44214" w:rsidR="005A1F3F" w:rsidRDefault="00E072E4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>▪  Çıkış yolları: denetim izi, Expected Access Principals raporu, denetim dosyası ve SIEM. DAM ile eşleşme bu çıktılar üzerinden yapılır. Ürün DAM değildir: canlı trafiği dinlemez ve ürün dışında yapılan işlemleri engellemez.</w:t>
      </w:r>
    </w:p>
    <w:p w14:paraId="66B9D80C" w14:textId="77777777" w:rsidR="005A1F3F" w:rsidRPr="005A1F3F" w:rsidRDefault="005A1F3F" w:rsidP="005A1F3F">
      <w:pPr>
        <w:spacing w:after="60"/>
        <w:rPr>
          <w:rFonts w:cs="Segoe UI"/>
        </w:rPr>
      </w:pPr>
    </w:p>
    <w:p w14:paraId="0CA1B429" w14:textId="32892EF6" w:rsidR="005A1F3F" w:rsidRDefault="005A1F3F" w:rsidP="005A1F3F">
      <w:pPr>
        <w:spacing w:before="280"/>
        <w:rPr>
          <w:rFonts w:ascii="Segoe UI Semibold" w:hAnsi="Segoe UI Semibold" w:cs="Segoe UI Semibold"/>
          <w:b/>
          <w:color w:val="0F2544"/>
          <w:sz w:val="40"/>
        </w:rPr>
      </w:pPr>
      <w:r>
        <w:rPr>
          <w:rFonts w:ascii="Segoe UI Semibold" w:hAnsi="Segoe UI Semibold" w:cs="Segoe UI Semibold"/>
          <w:b/>
          <w:color w:val="0F2544"/>
          <w:sz w:val="40"/>
        </w:rPr>
        <w:t>8. İletişim</w:t>
      </w:r>
    </w:p>
    <w:p w14:paraId="1FCC0C0A" w14:textId="1A923A35" w:rsidR="005A1F3F" w:rsidRDefault="005A1F3F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Web: www.sqlchangeguard.com</w:t>
      </w:r>
    </w:p>
    <w:p w14:paraId="1E1FC1E1" w14:textId="7661F619" w:rsidR="005A1F3F" w:rsidRDefault="005A1F3F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E-posta: onur.egilmez@sqlchangeguard.com  |  info@sqlchangeguard.com</w:t>
      </w:r>
    </w:p>
    <w:p w14:paraId="3A549F2F" w14:textId="4A6F00B1" w:rsidR="005A1F3F" w:rsidRDefault="005A1F3F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Telefon: 0505 621 29 02</w:t>
      </w:r>
    </w:p>
    <w:p w14:paraId="3382455D" w14:textId="07A9D565" w:rsidR="005A1F3F" w:rsidRDefault="005A1F3F" w:rsidP="005A1F3F">
      <w:pPr>
        <w:spacing w:after="60"/>
        <w:ind w:left="280"/>
        <w:rPr>
          <w:rFonts w:cs="Segoe UI"/>
        </w:rPr>
      </w:pPr>
      <w:r>
        <w:rPr>
          <w:rFonts w:cs="Segoe UI"/>
          <w:color w:val="0F2544"/>
        </w:rPr>
        <w:t xml:space="preserve">▪  </w:t>
      </w:r>
      <w:r>
        <w:rPr>
          <w:rFonts w:cs="Segoe UI"/>
        </w:rPr>
        <w:t>LinkedIn: linkedin.com/company/sqlchangeguard</w:t>
      </w:r>
    </w:p>
    <w:p w14:paraId="6795DDE7" w14:textId="77777777" w:rsidR="005A1F3F" w:rsidRDefault="005A1F3F" w:rsidP="005A1F3F">
      <w:pPr>
        <w:spacing w:after="60"/>
        <w:rPr>
          <w:rFonts w:cs="Segoe UI"/>
        </w:rPr>
      </w:pPr>
    </w:p>
    <w:p w14:paraId="4A7F675B" w14:textId="77777777" w:rsidR="005A1F3F" w:rsidRPr="005A1F3F" w:rsidRDefault="005A1F3F" w:rsidP="005A1F3F">
      <w:pPr>
        <w:spacing w:after="60"/>
        <w:rPr>
          <w:rFonts w:cs="Segoe UI"/>
        </w:rPr>
      </w:pPr>
    </w:p>
    <w:sectPr w:rsidR="005A1F3F" w:rsidRPr="005A1F3F" w:rsidSect="005A1F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00" w:right="1280" w:bottom="1200" w:left="12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83104" w14:textId="77777777" w:rsidR="002C6AB3" w:rsidRDefault="002C6AB3" w:rsidP="005A1F3F">
      <w:pPr>
        <w:spacing w:after="0"/>
      </w:pPr>
      <w:r>
        <w:separator/>
      </w:r>
    </w:p>
  </w:endnote>
  <w:endnote w:type="continuationSeparator" w:id="0">
    <w:p w14:paraId="70B667CD" w14:textId="77777777" w:rsidR="002C6AB3" w:rsidRDefault="002C6AB3" w:rsidP="005A1F3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emibold">
    <w:panose1 w:val="020B07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B7C46" w14:textId="77777777" w:rsidR="005A1F3F" w:rsidRDefault="005A1F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1528B" w14:textId="1DE813D6" w:rsidR="005A1F3F" w:rsidRPr="005A1F3F" w:rsidRDefault="005A1F3F" w:rsidP="005A1F3F">
    <w:pPr>
      <w:pStyle w:val="Footer"/>
      <w:jc w:val="center"/>
      <w:rPr>
        <w:rFonts w:cs="Segoe UI"/>
        <w:color w:val="5A697D"/>
        <w:sz w:val="16"/>
      </w:rPr>
    </w:pPr>
    <w:r>
      <w:rPr>
        <w:rFonts w:cs="Segoe UI"/>
        <w:color w:val="5A697D"/>
        <w:sz w:val="16"/>
      </w:rPr>
      <w:t>SQL Change Guard  |  Database Operations Governance Platform  |  sqlchangeguard.com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B7A1A" w14:textId="77777777" w:rsidR="005A1F3F" w:rsidRDefault="005A1F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68090" w14:textId="77777777" w:rsidR="002C6AB3" w:rsidRDefault="002C6AB3" w:rsidP="005A1F3F">
      <w:pPr>
        <w:spacing w:after="0"/>
      </w:pPr>
      <w:r>
        <w:separator/>
      </w:r>
    </w:p>
  </w:footnote>
  <w:footnote w:type="continuationSeparator" w:id="0">
    <w:p w14:paraId="1C7BD002" w14:textId="77777777" w:rsidR="002C6AB3" w:rsidRDefault="002C6AB3" w:rsidP="005A1F3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9826" w14:textId="77777777" w:rsidR="005A1F3F" w:rsidRDefault="005A1F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632EA" w14:textId="77777777" w:rsidR="005A1F3F" w:rsidRDefault="005A1F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B08B5" w14:textId="77777777" w:rsidR="005A1F3F" w:rsidRDefault="005A1F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F3F"/>
    <w:rsid w:val="000279E4"/>
    <w:rsid w:val="001038A1"/>
    <w:rsid w:val="001C6D95"/>
    <w:rsid w:val="001E0096"/>
    <w:rsid w:val="00250492"/>
    <w:rsid w:val="0027425D"/>
    <w:rsid w:val="002A3427"/>
    <w:rsid w:val="002C6AB3"/>
    <w:rsid w:val="003D4FD6"/>
    <w:rsid w:val="00511DDA"/>
    <w:rsid w:val="00524F11"/>
    <w:rsid w:val="005A1F3F"/>
    <w:rsid w:val="005A66B9"/>
    <w:rsid w:val="00685A22"/>
    <w:rsid w:val="006F2242"/>
    <w:rsid w:val="0073561E"/>
    <w:rsid w:val="007F0E99"/>
    <w:rsid w:val="00B1327E"/>
    <w:rsid w:val="00B63D74"/>
    <w:rsid w:val="00C15A0C"/>
    <w:rsid w:val="00E072E4"/>
    <w:rsid w:val="00E538EB"/>
    <w:rsid w:val="00FD0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160BE"/>
  <w15:chartTrackingRefBased/>
  <w15:docId w15:val="{6D4BEDCF-5A3E-425D-988B-F744932A3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240" w:lineRule="auto"/>
    </w:pPr>
    <w:rPr>
      <w:rFonts w:ascii="Segoe UI" w:hAnsi="Segoe UI"/>
      <w:color w:val="1E293B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F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1F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1F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1F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1F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1F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1F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1F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1F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1F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1F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1F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1F3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1F3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1F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1F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1F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1F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1F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F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F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1F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1F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1F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1F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1F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F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F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1F3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A1F3F"/>
    <w:pPr>
      <w:tabs>
        <w:tab w:val="center" w:pos="4703"/>
        <w:tab w:val="right" w:pos="94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A1F3F"/>
    <w:rPr>
      <w:rFonts w:ascii="Segoe UI" w:hAnsi="Segoe UI"/>
      <w:color w:val="1E293B"/>
      <w:sz w:val="22"/>
    </w:rPr>
  </w:style>
  <w:style w:type="paragraph" w:styleId="Footer">
    <w:name w:val="footer"/>
    <w:basedOn w:val="Normal"/>
    <w:link w:val="FooterChar"/>
    <w:uiPriority w:val="99"/>
    <w:unhideWhenUsed/>
    <w:rsid w:val="005A1F3F"/>
    <w:pPr>
      <w:tabs>
        <w:tab w:val="center" w:pos="4703"/>
        <w:tab w:val="right" w:pos="94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A1F3F"/>
    <w:rPr>
      <w:rFonts w:ascii="Segoe UI" w:hAnsi="Segoe UI"/>
      <w:color w:val="1E293B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867</Words>
  <Characters>4945</Characters>
  <Application>Microsoft Office Word</Application>
  <DocSecurity>0</DocSecurity>
  <Lines>41</Lines>
  <Paragraphs>11</Paragraphs>
  <ScaleCrop>false</ScaleCrop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 eğilmez</dc:creator>
  <cp:keywords/>
  <dc:description/>
  <cp:lastModifiedBy>onur eğilmez</cp:lastModifiedBy>
  <cp:revision>6</cp:revision>
  <dcterms:created xsi:type="dcterms:W3CDTF">2026-07-13T18:31:00Z</dcterms:created>
  <dcterms:modified xsi:type="dcterms:W3CDTF">2026-10-22T06:23:00Z</dcterms:modified>
</cp:coreProperties>
</file>