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D3C1C" w14:textId="77777777" w:rsidR="007F0E99" w:rsidRDefault="007F0E99"/>
    <w:p w14:paraId="4389B5AE" w14:textId="77777777" w:rsidR="00F631B6" w:rsidRDefault="00F631B6"/>
    <w:p w14:paraId="7C8595DD" w14:textId="77777777" w:rsidR="00F631B6" w:rsidRDefault="00F631B6"/>
    <w:p w14:paraId="6387C0F3" w14:textId="77777777" w:rsidR="00F631B6" w:rsidRDefault="00F631B6"/>
    <w:p w14:paraId="6CCEC8C3" w14:textId="53F8DCEC" w:rsidR="00F631B6" w:rsidRDefault="00F631B6" w:rsidP="00F631B6">
      <w:pPr>
        <w:jc w:val="center"/>
        <w:rPr>
          <w:rFonts w:ascii="Segoe UI Semibold" w:hAnsi="Segoe UI Semibold"/>
          <w:b/>
          <w:color w:val="0F2544"/>
          <w:sz w:val="68"/>
        </w:rPr>
      </w:pPr>
      <w:r>
        <w:rPr>
          <w:rFonts w:ascii="Segoe UI Semibold" w:hAnsi="Segoe UI Semibold"/>
          <w:b/>
          <w:color w:val="0F2544"/>
          <w:sz w:val="68"/>
        </w:rPr>
        <w:t>SQL Change Guard</w:t>
      </w:r>
    </w:p>
    <w:p w14:paraId="6F769D86" w14:textId="3485FDAA" w:rsidR="00F631B6" w:rsidRDefault="00F631B6" w:rsidP="00F631B6">
      <w:pPr>
        <w:spacing w:after="80"/>
        <w:jc w:val="center"/>
        <w:rPr>
          <w:rFonts w:cs="Segoe UI"/>
          <w:sz w:val="32"/>
        </w:rPr>
      </w:pPr>
      <w:r>
        <w:rPr>
          <w:rFonts w:cs="Segoe UI"/>
          <w:sz w:val="32"/>
        </w:rPr>
        <w:t>Frequently Asked Questions</w:t>
      </w:r>
    </w:p>
    <w:p w14:paraId="128CE035" w14:textId="418213B7" w:rsidR="00F631B6" w:rsidRDefault="00F631B6" w:rsidP="00F631B6">
      <w:pPr>
        <w:spacing w:after="80"/>
        <w:jc w:val="center"/>
        <w:rPr>
          <w:rFonts w:ascii="Arial" w:hAnsi="Arial" w:cs="Arial"/>
          <w:color w:val="0F2544"/>
          <w:sz w:val="24"/>
        </w:rPr>
      </w:pPr>
      <w:r>
        <w:rPr>
          <w:rFonts w:ascii="Arial" w:hAnsi="Arial" w:cs="Arial"/>
          <w:color w:val="0F2544"/>
          <w:sz w:val="24"/>
        </w:rPr>
        <w:t>────────────────────────</w:t>
      </w:r>
    </w:p>
    <w:p w14:paraId="17F00CD5" w14:textId="6F2913CE" w:rsidR="00F631B6" w:rsidRDefault="00F631B6" w:rsidP="00F631B6">
      <w:pPr>
        <w:spacing w:before="120" w:after="80"/>
        <w:jc w:val="center"/>
        <w:rPr>
          <w:rFonts w:cs="Segoe UI"/>
          <w:color w:val="5A697D"/>
          <w:sz w:val="24"/>
        </w:rPr>
      </w:pPr>
      <w:r>
        <w:rPr>
          <w:rFonts w:cs="Segoe UI"/>
          <w:color w:val="5A697D"/>
          <w:sz w:val="24"/>
        </w:rPr>
        <w:t>Enterprise FAQ</w:t>
      </w:r>
    </w:p>
    <w:p w14:paraId="4031EF7D" w14:textId="56BD6D45" w:rsidR="00F631B6" w:rsidRDefault="00F631B6" w:rsidP="00F631B6">
      <w:pPr>
        <w:spacing w:before="480" w:after="0"/>
        <w:jc w:val="center"/>
        <w:rPr>
          <w:rFonts w:cs="Segoe UI"/>
          <w:color w:val="5A697D"/>
          <w:sz w:val="20"/>
        </w:rPr>
      </w:pPr>
      <w:r>
        <w:rPr>
          <w:rFonts w:cs="Segoe UI"/>
          <w:color w:val="5A697D"/>
          <w:sz w:val="20"/>
        </w:rPr>
        <w:t>SQL Server  |  PostgreSQL  |  Oracle</w:t>
      </w:r>
    </w:p>
    <w:p w14:paraId="2AB05DCD" w14:textId="4B0B426F" w:rsidR="00F631B6" w:rsidRDefault="00F631B6">
      <w:pPr>
        <w:spacing w:after="160" w:line="278" w:lineRule="auto"/>
        <w:rPr>
          <w:rFonts w:cs="Segoe UI"/>
          <w:color w:val="5A697D"/>
          <w:sz w:val="20"/>
        </w:rPr>
      </w:pPr>
      <w:r>
        <w:rPr>
          <w:rFonts w:cs="Segoe UI"/>
          <w:color w:val="5A697D"/>
          <w:sz w:val="20"/>
        </w:rPr>
        <w:br w:type="page"/>
      </w:r>
    </w:p>
    <w:p w14:paraId="0A0088AD" w14:textId="5187FAFC" w:rsidR="00F631B6" w:rsidRDefault="00F631B6" w:rsidP="00F631B6">
      <w:pPr>
        <w:spacing w:before="280"/>
        <w:rPr>
          <w:rFonts w:ascii="Segoe UI Semibold" w:hAnsi="Segoe UI Semibold" w:cs="Segoe UI Semibold"/>
          <w:b/>
          <w:color w:val="0F2544"/>
          <w:sz w:val="40"/>
        </w:rPr>
      </w:pPr>
      <w:r>
        <w:rPr>
          <w:rFonts w:ascii="Segoe UI Semibold" w:hAnsi="Segoe UI Semibold" w:cs="Segoe UI Semibold"/>
          <w:b/>
          <w:color w:val="0F2544"/>
          <w:sz w:val="40"/>
        </w:rPr>
        <w:lastRenderedPageBreak/>
        <w:t>General</w:t>
      </w:r>
    </w:p>
    <w:p w14:paraId="6FBFBC80" w14:textId="29AF7921"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What exactly does SQL Change Guard do?</w:t>
      </w:r>
    </w:p>
    <w:p w14:paraId="22BDD83E" w14:textId="4EDCDD4F" w:rsidR="00F631B6" w:rsidRDefault="00F631B6" w:rsidP="00F631B6">
      <w:pPr>
        <w:rPr>
          <w:rFonts w:cs="Segoe UI"/>
        </w:rPr>
      </w:pPr>
      <w:r>
        <w:rPr>
          <w:rFonts w:cs="Segoe UI"/>
        </w:rPr>
        <w:t>It manages database changes (Database Change Governance), production data access (Production Query Governance) and compliance (Compliance and Audit) in one platform. It analyzes changes before deployment with 84+ rules, scores risk, runs them through an approval workflow, executes and keeps a full audit.</w:t>
      </w:r>
    </w:p>
    <w:p w14:paraId="79450664" w14:textId="68131B18"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How is it different from migration tools (like Flyway, Liquibase)?</w:t>
      </w:r>
    </w:p>
    <w:p w14:paraId="5A19040C" w14:textId="50F5C1EB" w:rsidR="00F631B6" w:rsidRDefault="00F631B6" w:rsidP="00F631B6">
      <w:pPr>
        <w:rPr>
          <w:rFonts w:cs="Segoe UI"/>
        </w:rPr>
      </w:pPr>
      <w:r>
        <w:rPr>
          <w:rFonts w:cs="Segoe UI"/>
        </w:rPr>
        <w:t>Beyond the migration-based approach, it offers production data access governance, sensitive data masking, a policy engine, risk analysis, automated rollback and an audit-ready trail. It is not just schema deployment, but end to end database operations governance.</w:t>
      </w:r>
    </w:p>
    <w:p w14:paraId="1E9C529E" w14:textId="6E1A3C8E" w:rsidR="00F631B6" w:rsidRDefault="00F631B6" w:rsidP="00F631B6">
      <w:pPr>
        <w:spacing w:before="280"/>
        <w:rPr>
          <w:rFonts w:ascii="Segoe UI Semibold" w:hAnsi="Segoe UI Semibold" w:cs="Segoe UI Semibold"/>
          <w:b/>
          <w:color w:val="0F2544"/>
          <w:sz w:val="40"/>
        </w:rPr>
      </w:pPr>
      <w:r>
        <w:rPr>
          <w:rFonts w:ascii="Segoe UI Semibold" w:hAnsi="Segoe UI Semibold" w:cs="Segoe UI Semibold"/>
          <w:b/>
          <w:color w:val="0F2544"/>
          <w:sz w:val="40"/>
        </w:rPr>
        <w:t>Databases and Installation</w:t>
      </w:r>
    </w:p>
    <w:p w14:paraId="20113519" w14:textId="4F2EC1A5"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Which databases are supported?</w:t>
      </w:r>
    </w:p>
    <w:p w14:paraId="3A76DE99" w14:textId="7D465B83" w:rsidR="00F631B6" w:rsidRDefault="00F631B6" w:rsidP="00F631B6">
      <w:pPr>
        <w:rPr>
          <w:rFonts w:cs="Segoe UI"/>
        </w:rPr>
      </w:pPr>
      <w:r>
        <w:rPr>
          <w:rFonts w:cs="Segoe UI"/>
        </w:rPr>
        <w:t>SQL Server, PostgreSQL and Oracle. Each has its own parser and rule engine; the same governance model works across all three. The application's own management database is SQL Server.</w:t>
      </w:r>
    </w:p>
    <w:p w14:paraId="7CC056E0" w14:textId="79D1BE1E"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Is an internet connection required?</w:t>
      </w:r>
    </w:p>
    <w:p w14:paraId="472C2B5E" w14:textId="04889DFA" w:rsidR="00F631B6" w:rsidRDefault="00F631B6" w:rsidP="00F631B6">
      <w:pPr>
        <w:rPr>
          <w:rFonts w:cs="Segoe UI"/>
        </w:rPr>
      </w:pPr>
      <w:r>
        <w:rPr>
          <w:rFonts w:cs="Segoe UI"/>
        </w:rPr>
        <w:t>No. It runs fully on-premise. Installation is designed to complete within 30 minutes.</w:t>
      </w:r>
    </w:p>
    <w:p w14:paraId="7D6354A6" w14:textId="66B35718" w:rsidR="00F631B6" w:rsidRDefault="00F631B6" w:rsidP="00F631B6">
      <w:pPr>
        <w:spacing w:before="280"/>
        <w:rPr>
          <w:rFonts w:ascii="Segoe UI Semibold" w:hAnsi="Segoe UI Semibold" w:cs="Segoe UI Semibold"/>
          <w:b/>
          <w:color w:val="0F2544"/>
          <w:sz w:val="40"/>
        </w:rPr>
      </w:pPr>
      <w:r>
        <w:rPr>
          <w:rFonts w:ascii="Segoe UI Semibold" w:hAnsi="Segoe UI Semibold" w:cs="Segoe UI Semibold"/>
          <w:b/>
          <w:color w:val="0F2544"/>
          <w:sz w:val="40"/>
        </w:rPr>
        <w:t>Security and Compliance</w:t>
      </w:r>
    </w:p>
    <w:p w14:paraId="55A46684" w14:textId="1EFDADD9"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How does it prevent errors like DELETE/UPDATE without a WHERE clause?</w:t>
      </w:r>
    </w:p>
    <w:p w14:paraId="621AB11A" w14:textId="35091D4B" w:rsidR="00F631B6" w:rsidRDefault="00F631B6" w:rsidP="00F631B6">
      <w:pPr>
        <w:rPr>
          <w:rFonts w:cs="Segoe UI"/>
        </w:rPr>
      </w:pPr>
      <w:r>
        <w:rPr>
          <w:rFonts w:cs="Segoe UI"/>
        </w:rPr>
        <w:t>When a script is uploaded, the parser engages. If a DELETE/UPDATE without a WHERE clause is detected, the risk score drops to critical and, if the rule is blocking, the save/deployment is prevented.</w:t>
      </w:r>
    </w:p>
    <w:p w14:paraId="07E7FC60" w14:textId="69C99F0D"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Is it suitable for KVKK and banking audits?</w:t>
      </w:r>
    </w:p>
    <w:p w14:paraId="310D445A" w14:textId="6C02C034" w:rsidR="00F631B6" w:rsidRDefault="00F631B6" w:rsidP="00F631B6">
      <w:pPr>
        <w:rPr>
          <w:rFonts w:cs="Segoe UI"/>
        </w:rPr>
      </w:pPr>
      <w:r>
        <w:rPr>
          <w:rFonts w:cs="Segoe UI"/>
        </w:rPr>
        <w:t xml:space="preserve">Yes. It is designed around KVKK, ISO 27001, COBIT and ITIL. With sensitive data masking, immutable (hash-chained) audit records, approval evidence and </w:t>
      </w:r>
      <w:r w:rsidR="0090081F">
        <w:rPr>
          <w:rFonts w:cs="Segoe UI"/>
        </w:rPr>
        <w:t>30 built-in reports</w:t>
      </w:r>
      <w:r>
        <w:rPr>
          <w:rFonts w:cs="Segoe UI"/>
        </w:rPr>
        <w:t>, it is audit ready.</w:t>
      </w:r>
    </w:p>
    <w:p w14:paraId="10204456" w14:textId="40EA4C71"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How does it protect sensitive data?</w:t>
      </w:r>
    </w:p>
    <w:p w14:paraId="068E92D5" w14:textId="32CC6C28" w:rsidR="00F631B6" w:rsidRDefault="00F631B6" w:rsidP="00F631B6">
      <w:pPr>
        <w:rPr>
          <w:rFonts w:cs="Segoe UI"/>
        </w:rPr>
      </w:pPr>
      <w:r>
        <w:rPr>
          <w:rFonts w:cs="Segoe UI"/>
        </w:rPr>
        <w:t xml:space="preserve">Patterns such as national ID, card, IBAN and phone are </w:t>
      </w:r>
      <w:r w:rsidR="00485479">
        <w:rPr>
          <w:rFonts w:cs="Segoe UI"/>
        </w:rPr>
        <w:t>detected via regex and validation algorithms</w:t>
      </w:r>
      <w:r>
        <w:rPr>
          <w:rFonts w:cs="Segoe UI"/>
        </w:rPr>
        <w:t>; sensitive columns are masked automatically (</w:t>
      </w:r>
      <w:r w:rsidR="00485479">
        <w:rPr>
          <w:rFonts w:cs="Segoe UI"/>
        </w:rPr>
        <w:t>full mask / partial mask</w:t>
      </w:r>
      <w:r>
        <w:rPr>
          <w:rFonts w:cs="Segoe UI"/>
        </w:rPr>
        <w:t>). Unmasked data requires extra approval; results are delivered as an encrypted ZIP and a download record is kept.</w:t>
      </w:r>
    </w:p>
    <w:p w14:paraId="2DCD9FCD" w14:textId="44783997" w:rsidR="009C7C79" w:rsidRDefault="009C7C79" w:rsidP="00F631B6">
      <w:pPr>
        <w:rPr>
          <w:rFonts w:cs="Segoe UI"/>
        </w:rPr>
      </w:pPr>
      <w:r>
        <w:rPr>
          <w:rFonts w:cs="Segoe UI"/>
          <w:b/>
        </w:rPr>
        <w:t>What do I give an auditor who wants all the evidence for a single request?</w:t>
      </w:r>
    </w:p>
    <w:p w14:paraId="44368D24" w14:textId="2E6DDE7C" w:rsidR="009C7C79" w:rsidRPr="009C7C79" w:rsidRDefault="009C7C79" w:rsidP="00F631B6">
      <w:pPr>
        <w:rPr>
          <w:rFonts w:cs="Segoe UI"/>
        </w:rPr>
      </w:pPr>
      <w:r>
        <w:rPr>
          <w:rFonts w:cs="Segoe UI"/>
        </w:rPr>
        <w:t xml:space="preserve">From the request detail screen you download an Evidence File with one click: the request identity, segregation of duties, approval evidence, script fingerprint (proof that what was approved equals what was executed), risk score, execution record and the full audit trail are gathered into a single </w:t>
      </w:r>
      <w:r>
        <w:rPr>
          <w:rFonts w:cs="Segoe UI"/>
        </w:rPr>
        <w:lastRenderedPageBreak/>
        <w:t>file (PDF and JSON). The file carries a package seal (SHA-256) and can be verified through the system as unchanged. Downloading requires a separate permission and the action itself is audited.</w:t>
      </w:r>
    </w:p>
    <w:p w14:paraId="5FDF17D7" w14:textId="0CA27F9B" w:rsidR="00F631B6" w:rsidRDefault="00F631B6">
      <w:pPr>
        <w:spacing w:after="160" w:line="278" w:lineRule="auto"/>
        <w:rPr>
          <w:rFonts w:cs="Segoe UI"/>
        </w:rPr>
      </w:pPr>
      <w:r>
        <w:rPr>
          <w:rFonts w:cs="Segoe UI"/>
        </w:rPr>
        <w:br w:type="page"/>
      </w:r>
    </w:p>
    <w:p w14:paraId="51061162" w14:textId="70D5BFA7" w:rsidR="00F631B6" w:rsidRDefault="00F631B6" w:rsidP="00F631B6">
      <w:pPr>
        <w:spacing w:before="280"/>
        <w:rPr>
          <w:rFonts w:ascii="Segoe UI Semibold" w:hAnsi="Segoe UI Semibold" w:cs="Segoe UI Semibold"/>
          <w:b/>
          <w:color w:val="0F2544"/>
          <w:sz w:val="40"/>
        </w:rPr>
      </w:pPr>
      <w:r>
        <w:rPr>
          <w:rFonts w:ascii="Segoe UI Semibold" w:hAnsi="Segoe UI Semibold" w:cs="Segoe UI Semibold"/>
          <w:b/>
          <w:color w:val="0F2544"/>
          <w:sz w:val="40"/>
        </w:rPr>
        <w:lastRenderedPageBreak/>
        <w:t>Change and Rollback</w:t>
      </w:r>
    </w:p>
    <w:p w14:paraId="0476193A" w14:textId="41B27C9E"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How does rollback work?</w:t>
      </w:r>
    </w:p>
    <w:p w14:paraId="436D4D50" w14:textId="39391BDE" w:rsidR="00F631B6" w:rsidRDefault="00F631B6" w:rsidP="00F631B6">
      <w:pPr>
        <w:rPr>
          <w:rFonts w:cs="Segoe UI"/>
        </w:rPr>
      </w:pPr>
      <w:r>
        <w:rPr>
          <w:rFonts w:cs="Segoe UI"/>
        </w:rPr>
        <w:t>A rollback script can be generated for each change. Because DDL/DCL/TRUNCATE implicit-commit on Oracle, a rollback is mandatory for such Oracle changes and can be prepared automatically at approval time. If the source request is edited, the rollback is refreshed.</w:t>
      </w:r>
    </w:p>
    <w:p w14:paraId="0BAA0DA9" w14:textId="15DABA7A"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What is the sandbox for?</w:t>
      </w:r>
    </w:p>
    <w:p w14:paraId="7CD00DD5" w14:textId="54AFA45C" w:rsidR="00F631B6" w:rsidRDefault="00F631B6" w:rsidP="00F631B6">
      <w:pPr>
        <w:rPr>
          <w:rFonts w:cs="Segoe UI"/>
        </w:rPr>
      </w:pPr>
      <w:r>
        <w:rPr>
          <w:rFonts w:cs="Segoe UI"/>
        </w:rPr>
        <w:t>It validates a change by running and rolling it back (BEGIN-ROLLBACK) on a real environment before going live, so errors are seen before they reach production.</w:t>
      </w:r>
    </w:p>
    <w:p w14:paraId="6D0BE15B" w14:textId="7BD1505F" w:rsidR="00F631B6" w:rsidRDefault="00F631B6" w:rsidP="00F631B6">
      <w:pPr>
        <w:spacing w:before="280"/>
        <w:rPr>
          <w:rFonts w:ascii="Segoe UI Semibold" w:hAnsi="Segoe UI Semibold" w:cs="Segoe UI Semibold"/>
          <w:b/>
          <w:color w:val="0F2544"/>
          <w:sz w:val="40"/>
        </w:rPr>
      </w:pPr>
      <w:r>
        <w:rPr>
          <w:rFonts w:ascii="Segoe UI Semibold" w:hAnsi="Segoe UI Semibold" w:cs="Segoe UI Semibold"/>
          <w:b/>
          <w:color w:val="0F2544"/>
          <w:sz w:val="40"/>
        </w:rPr>
        <w:t>Commercial</w:t>
      </w:r>
    </w:p>
    <w:p w14:paraId="6FFAC79A" w14:textId="02C853B0"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How is it priced?</w:t>
      </w:r>
    </w:p>
    <w:p w14:paraId="46B0C62F" w14:textId="06AFC31B" w:rsidR="00F631B6" w:rsidRDefault="00F631B6" w:rsidP="00F631B6">
      <w:pPr>
        <w:rPr>
          <w:rFonts w:cs="Segoe UI"/>
        </w:rPr>
      </w:pPr>
      <w:r>
        <w:rPr>
          <w:rFonts w:cs="Segoe UI"/>
        </w:rPr>
        <w:t>Tailored by server count, user count and modules. Dedicated packages exist for banking, finance and public sector. Request a free demo to get a quote.</w:t>
      </w:r>
    </w:p>
    <w:p w14:paraId="6F24A1AB" w14:textId="6B5B0F62" w:rsidR="00F631B6" w:rsidRDefault="00F631B6" w:rsidP="00F631B6">
      <w:pPr>
        <w:spacing w:before="200" w:after="80"/>
        <w:rPr>
          <w:rFonts w:ascii="Segoe UI Semibold" w:hAnsi="Segoe UI Semibold" w:cs="Segoe UI Semibold"/>
          <w:b/>
          <w:sz w:val="28"/>
        </w:rPr>
      </w:pPr>
      <w:r>
        <w:rPr>
          <w:rFonts w:ascii="Segoe UI Semibold" w:hAnsi="Segoe UI Semibold" w:cs="Segoe UI Semibold"/>
          <w:b/>
          <w:sz w:val="28"/>
        </w:rPr>
        <w:t>How do I get started?</w:t>
      </w:r>
    </w:p>
    <w:p w14:paraId="45CBCA53" w14:textId="361DAA45" w:rsidR="00F631B6" w:rsidRDefault="00F631B6" w:rsidP="00F631B6">
      <w:pPr>
        <w:rPr>
          <w:rFonts w:cs="Segoe UI"/>
        </w:rPr>
      </w:pPr>
      <w:r>
        <w:rPr>
          <w:rFonts w:cs="Segoe UI"/>
        </w:rPr>
        <w:t>Write to info@sqlchangeguard.com or call +90 505 621 29 02; let us plan a short 20-30 minute online demo.</w:t>
      </w:r>
    </w:p>
    <w:p w14:paraId="1B4999D2" w14:textId="719ED2E5" w:rsidR="00F631B6" w:rsidRDefault="00F631B6" w:rsidP="00F631B6">
      <w:pPr>
        <w:spacing w:before="280"/>
        <w:rPr>
          <w:rFonts w:ascii="Segoe UI Semibold" w:hAnsi="Segoe UI Semibold" w:cs="Segoe UI Semibold"/>
          <w:b/>
          <w:color w:val="0F2544"/>
          <w:sz w:val="40"/>
        </w:rPr>
      </w:pPr>
      <w:r>
        <w:rPr>
          <w:rFonts w:ascii="Segoe UI Semibold" w:hAnsi="Segoe UI Semibold" w:cs="Segoe UI Semibold"/>
          <w:b/>
          <w:color w:val="0F2544"/>
          <w:sz w:val="40"/>
        </w:rPr>
        <w:t>Contact</w:t>
      </w:r>
    </w:p>
    <w:p w14:paraId="2496B44F" w14:textId="610D01E1" w:rsidR="00F631B6" w:rsidRDefault="00F631B6" w:rsidP="00F631B6">
      <w:pPr>
        <w:spacing w:after="60"/>
        <w:ind w:left="280"/>
        <w:rPr>
          <w:rFonts w:cs="Segoe UI"/>
        </w:rPr>
      </w:pPr>
      <w:r>
        <w:rPr>
          <w:rFonts w:cs="Segoe UI"/>
          <w:color w:val="0F2544"/>
        </w:rPr>
        <w:t xml:space="preserve">▪  </w:t>
      </w:r>
      <w:r>
        <w:rPr>
          <w:rFonts w:cs="Segoe UI"/>
        </w:rPr>
        <w:t>Web: www.sqlchangeguard.com</w:t>
      </w:r>
    </w:p>
    <w:p w14:paraId="73B110F7" w14:textId="65E2DDBE" w:rsidR="00F631B6" w:rsidRDefault="00F631B6" w:rsidP="00F631B6">
      <w:pPr>
        <w:spacing w:after="60"/>
        <w:ind w:left="280"/>
        <w:rPr>
          <w:rFonts w:cs="Segoe UI"/>
        </w:rPr>
      </w:pPr>
      <w:r>
        <w:rPr>
          <w:rFonts w:cs="Segoe UI"/>
          <w:color w:val="0F2544"/>
        </w:rPr>
        <w:t xml:space="preserve">▪  </w:t>
      </w:r>
      <w:r>
        <w:rPr>
          <w:rFonts w:cs="Segoe UI"/>
        </w:rPr>
        <w:t>Email: onur.egilmez@sqlchangeguard.com  |  info@sqlchangeguard.com</w:t>
      </w:r>
    </w:p>
    <w:p w14:paraId="7FFD8165" w14:textId="05E60F83" w:rsidR="00F631B6" w:rsidRDefault="00F631B6" w:rsidP="00F631B6">
      <w:pPr>
        <w:spacing w:after="60"/>
        <w:ind w:left="280"/>
        <w:rPr>
          <w:rFonts w:cs="Segoe UI"/>
        </w:rPr>
      </w:pPr>
      <w:r>
        <w:rPr>
          <w:rFonts w:cs="Segoe UI"/>
          <w:color w:val="0F2544"/>
        </w:rPr>
        <w:t xml:space="preserve">▪  </w:t>
      </w:r>
      <w:r>
        <w:rPr>
          <w:rFonts w:cs="Segoe UI"/>
        </w:rPr>
        <w:t>Phone: +90 505 621 29 02</w:t>
      </w:r>
    </w:p>
    <w:p w14:paraId="6ED05DF5" w14:textId="13518874" w:rsidR="00F631B6" w:rsidRDefault="00F631B6" w:rsidP="00F631B6">
      <w:pPr>
        <w:spacing w:after="60"/>
        <w:ind w:left="280"/>
        <w:rPr>
          <w:rFonts w:cs="Segoe UI"/>
        </w:rPr>
      </w:pPr>
      <w:r>
        <w:rPr>
          <w:rFonts w:cs="Segoe UI"/>
          <w:color w:val="0F2544"/>
        </w:rPr>
        <w:t xml:space="preserve">▪  </w:t>
      </w:r>
      <w:r>
        <w:rPr>
          <w:rFonts w:cs="Segoe UI"/>
        </w:rPr>
        <w:t>LinkedIn: linkedin.com/company/sqlchangeguard</w:t>
      </w:r>
    </w:p>
    <w:p w14:paraId="42E36DD1" w14:textId="77777777" w:rsidR="00F631B6" w:rsidRDefault="00F631B6" w:rsidP="00F631B6">
      <w:pPr>
        <w:spacing w:after="60"/>
        <w:rPr>
          <w:rFonts w:cs="Segoe UI"/>
        </w:rPr>
      </w:pPr>
    </w:p>
    <w:p w14:paraId="2D2C5DA5" w14:textId="77777777" w:rsidR="00C652B5" w:rsidRDefault="00C652B5" w:rsidP="00C652B5">
      <w:pPr>
        <w:pStyle w:val="Heading1"/>
      </w:pPr>
      <w:r>
        <w:t>Sensitive Data Masking: Validated Detection and Server Level Regime</w:t>
      </w:r>
    </w:p>
    <w:p w14:paraId="271B7697" w14:textId="77777777" w:rsidR="00C652B5" w:rsidRDefault="00C652B5" w:rsidP="00C652B5">
      <w:r>
        <w:t>Masking works through two independent mechanisms that cover each other's blind spots.</w:t>
      </w:r>
    </w:p>
    <w:p w14:paraId="06B5345A" w14:textId="77777777" w:rsidR="00C652B5" w:rsidRDefault="00C652B5" w:rsidP="00C652B5">
      <w:r>
        <w:t>The first is the classification catalog. It looks at the column name and never at the data. For example, every column whose name contains TCKN is masked. This mechanism also covers numeric columns, which is the only protection in systems that keep identity numbers as numbers. Every rule carries a label shown to the auditor, such as identity, contact, health, education or payment card. A ready made starter set covering finance, retail, healthcare and education is installed with the product.</w:t>
      </w:r>
    </w:p>
    <w:p w14:paraId="0A958920" w14:textId="77777777" w:rsidR="00C652B5" w:rsidRDefault="00C652B5" w:rsidP="00C652B5">
      <w:r>
        <w:lastRenderedPageBreak/>
        <w:t>The second is data patterns. These ignore the column name and inspect cell contents. The important part is that a pattern can be bound to a validation algorithm: a checksum for the national identity number, Luhn for card numbers, mod-97 for IBANs. As a result an eleven digit order number is not masked for nothing, while a real identity number is. This removes unnecessary unmasked data requests.</w:t>
      </w:r>
    </w:p>
    <w:p w14:paraId="5C1D7613" w14:textId="77777777" w:rsidR="00C652B5" w:rsidRDefault="00C652B5" w:rsidP="00C652B5">
      <w:r>
        <w:t>Column preview. While a request is being saved, the system connects to the target server and asks which columns the query returns. The query is not executed and no row is read. This lets the requester and the approver see which columns will be masked before delivery. Even when the query uses an alias, the source column is identified and masking cannot be bypassed.</w:t>
      </w:r>
    </w:p>
    <w:p w14:paraId="694A7FC5" w14:textId="77777777" w:rsidR="00C652B5" w:rsidRDefault="00C652B5" w:rsidP="00C652B5">
      <w:r>
        <w:t>Server level regime. Because masking is a property of the data, the setting lives on the server definition. There are two regimes: full masking and content only. The content only regime is intended for environments that hold synthetic data. It does not mask columns by name, but if real data is loaded onto that server the validated patterns take effect and masking returns automatically. This regime cannot be selected without a written reason, and a change is written to the audit trail as a separate event. When a request targets several servers the decisions are made per server: the result from a production server can be masked while the result from a server holding synthetic data stays open.</w:t>
      </w:r>
    </w:p>
    <w:p w14:paraId="46B57EC4" w14:textId="77777777" w:rsidR="00C652B5" w:rsidRDefault="00C652B5" w:rsidP="00C652B5">
      <w:r>
        <w:t>Evidence. For every delivery the system records, column by column, why a column was masked: classification catalog, data pattern, approved unmasked request or detection time budget exceeded. The record is per server, and the regime and exemption reason are frozen at delivery time, so the evidence stays intact even if the server definition is changed later. Masking can be switched off with an organisation wide parameter, but even then every delivery is recorded and marked with a red verdict in the evidence dossier.</w:t>
      </w:r>
    </w:p>
    <w:p w14:paraId="2778D4C7" w14:textId="41E5803B" w:rsidR="00C652B5" w:rsidRDefault="00C652B5" w:rsidP="00C652B5">
      <w:r>
        <w:t>Learning loop. Columns caught by a pattern but missing from the catalog collect as candidates; a database administrator turns them into permanent rules or ignores them. The candidate list holds no data values, only column, table and pattern names. This way the classification sharpens over time without anyone looking at production data.</w:t>
      </w:r>
    </w:p>
    <w:p w14:paraId="1A0F50FF" w14:textId="77777777" w:rsidR="00992280" w:rsidRDefault="00992280" w:rsidP="00992280">
      <w:pPr>
        <w:pStyle w:val="Heading1"/>
      </w:pPr>
      <w:r>
        <w:t>Evidence: Which Rules Applied on the Day</w:t>
      </w:r>
    </w:p>
    <w:p w14:paraId="45962815" w14:textId="77777777" w:rsidR="00992280" w:rsidRDefault="00992280" w:rsidP="00992280">
      <w:r>
        <w:t>Rules change over time. A setting may be strict today and have been relaxed six months ago. The question asked during an audit is this: which rules applied to this request on the day it was processed? The system answers that question from a record frozen on that day, not from the current settings.</w:t>
      </w:r>
    </w:p>
    <w:p w14:paraId="0AF25673" w14:textId="77777777" w:rsidR="00992280" w:rsidRDefault="00992280" w:rsidP="00992280">
      <w:r>
        <w:t>Rule set snapshot. Whenever a request is saved, the rule set in force at that moment is written to a single audit record: the identity and control flags of the target servers (rollback requirement, automatic execution, masking regime), the approval and segregation of duties rules, the sensitive data masking settings, the result file access rules, the list of SQL standards that were blocking on that day, and the licensed modules that were open. The record does not change when a rule changes later.</w:t>
      </w:r>
    </w:p>
    <w:p w14:paraId="52B09439" w14:textId="77777777" w:rsidR="00992280" w:rsidRDefault="00992280" w:rsidP="00992280">
      <w:r>
        <w:t>Settings at delivery time. A request may be saved on one date and executed on another. Because masking happens at execution time, the threshold, sample size, sampling mode and time budget in force at that moment are frozen into the delivery record as well. This makes it possible to answer with certainty why no column was masked in a given delivery.</w:t>
      </w:r>
    </w:p>
    <w:p w14:paraId="6B8B4B9F" w14:textId="77777777" w:rsidR="00992280" w:rsidRDefault="00992280" w:rsidP="00992280">
      <w:r>
        <w:t>Control changes are recorded as separate events. Changing a setting and relaxing a control are not the same thing. Relaxing a masking regime, removing a rollback requirement, enabling automatic execution, disabling a detection pattern, deleting a classification rule, adding an address to the recipient pool, stopping a maintenance task and changing licensed modules are each written under their own event name. Relaxing and tightening receive different names. The audit screen can search by event name, so which control was relaxed, when and by whom is visible in a single list.</w:t>
      </w:r>
    </w:p>
    <w:p w14:paraId="0BA65BEA" w14:textId="77777777" w:rsidR="00992280" w:rsidRDefault="00992280" w:rsidP="00992280">
      <w:r>
        <w:t>Two independent record layers. The application audit trail holds events that carry business meaning and is visible on screen. A second layer at the database level works independently of the application, so a change made directly to the database with an administration tool is also captured. The two layers do not replace each other, one completes the other.</w:t>
      </w:r>
    </w:p>
    <w:p w14:paraId="52C654F7" w14:textId="77777777" w:rsidR="00992280" w:rsidRDefault="00992280" w:rsidP="00992280">
      <w:r>
        <w:t>Visible in the evidence dossier. The request level evidence dossier lists the rule set in force on the day the request was processed in its own readable section. An auditor sees both what happened and under which rules it happened in a single document.</w:t>
      </w:r>
    </w:p>
    <w:p w14:paraId="253A287B" w14:textId="77CCFB17" w:rsidR="00992280" w:rsidRDefault="00992280" w:rsidP="00992280">
      <w:r>
        <w:t>Release package scope. Release packages carry change requests only. Query result requests cannot be part of a package; a result file is only delivered through its own flow, which applies sensitive data masking and writes the audit record. This rule is enforced on the server side as well, independently of the user interface.</w:t>
      </w:r>
    </w:p>
    <w:p w14:paraId="4EA9354E" w14:textId="77777777" w:rsidR="00F70F9D" w:rsidRDefault="00F70F9D" w:rsidP="00F70F9D">
      <w:pPr>
        <w:pStyle w:val="Heading1"/>
      </w:pPr>
      <w:r>
        <w:t>Four Eyes Principle for Settings Changes</w:t>
      </w:r>
    </w:p>
    <w:p w14:paraId="766FAA63" w14:textId="77777777" w:rsidR="00F70F9D" w:rsidRDefault="00F70F9D" w:rsidP="00F70F9D">
      <w:r>
        <w:t>A settings change that weakens a control should not be made by a single person. The system can put settings screen changes behind approval: the change is not applied immediately, it waits for approval, and the previous value stays in effect until it is approved.</w:t>
      </w:r>
    </w:p>
    <w:p w14:paraId="4EFA074F" w14:textId="77777777" w:rsidR="00F70F9D" w:rsidRDefault="00F70F9D" w:rsidP="00F70F9D">
      <w:r>
        <w:t>How it works. A pending change is held in a separate record; the real settings table is not touched until approval is given. As a result the rest of the system keeps reading the previous value and a half applied setting never occurs. On approval the change is applied through the very same path as if the user had saved it, so the licence limit, validation and concurrency checks all run again at that moment.</w:t>
      </w:r>
    </w:p>
    <w:p w14:paraId="75C8F2F9" w14:textId="77777777" w:rsidR="00F70F9D" w:rsidRDefault="00F70F9D" w:rsidP="00F70F9D">
      <w:r>
        <w:t>Approval authority. A settings change is approved by another user who holds the permission of that screen. No separate approver role is defined; the permissions already exist in the role definition. Nobody can approve or reject a change they requested themselves, and this rule is not optional. The approval list is filtered by permission: a person only sees approvals for the screens they are authorised for.</w:t>
      </w:r>
    </w:p>
    <w:p w14:paraId="52B5EFA6" w14:textId="3F549901" w:rsidR="00F70F9D" w:rsidRDefault="00F70F9D" w:rsidP="00F70F9D">
      <w:r>
        <w:t xml:space="preserve">Scope. The feature is governed by one organisation wide parameter with three options: disabled, control settings only, all settings. The default is disabled. Under control settings only, </w:t>
      </w:r>
      <w:r w:rsidR="004E02AE">
        <w:t>server definitions, user records, the role permission matrix, approval policies, SQL standards, the critical object list, the sensitive column catalog, sensitive data patterns, approved recipient addresses, maintenance jobs</w:t>
      </w:r>
      <w:r w:rsidR="008E0CD4">
        <w:t xml:space="preserve"> and control parameters such as masking, approval and segregation of duties wait for approval</w:t>
      </w:r>
      <w:r>
        <w:t xml:space="preserve">, while operational settings do not slow the flow down. </w:t>
      </w:r>
      <w:r w:rsidR="008E0CD4">
        <w:t>The feature itself is a control: turning it on is applied immediately, turning it off requires approval. Password reset and user unlock are deliberately out of scope: they are help desk actions and are written to the audit record.</w:t>
      </w:r>
    </w:p>
    <w:p w14:paraId="4EA3AA12" w14:textId="77777777" w:rsidR="00F70F9D" w:rsidRDefault="00F70F9D" w:rsidP="00F70F9D">
      <w:r>
        <w:t>On screen. A record with a pending change is marked on its settings screen and cannot be edited again; a notice at the top of the screen shows how many changes are waiting. After saving, the user is told clearly that the change was not applied but sent for approval. A separate approval screen shows the previous and the requested value side by side and highlights the fields that differ.</w:t>
      </w:r>
    </w:p>
    <w:p w14:paraId="3102B1B2" w14:textId="77777777" w:rsidR="00F70F9D" w:rsidRDefault="00F70F9D" w:rsidP="00F70F9D">
      <w:r>
        <w:t>Records. Requesting, approving, rejecting and failing to apply an approved change are written as separate audit events. At approval the change also produces its own audit record, so who approved it and what the value became can be traced separately. Rejection requires a reason.</w:t>
      </w:r>
    </w:p>
    <w:p w14:paraId="0302D332" w14:textId="58EE1E4A" w:rsidR="00F70F9D" w:rsidRDefault="00F70F9D" w:rsidP="00F70F9D">
      <w:r>
        <w:t>Deployment note. Because nobody can approve their own request, at least two users must hold each screen permission in scope. In practice this comes down to a single requirement: at least two system manager users must be defined.</w:t>
      </w:r>
    </w:p>
    <w:p w14:paraId="26BA3ED6" w14:textId="77777777" w:rsidR="00F50174" w:rsidRDefault="00F50174" w:rsidP="00F50174">
      <w:pPr>
        <w:pStyle w:val="Heading1"/>
      </w:pPr>
      <w:r>
        <w:t>The Auditor Role</w:t>
      </w:r>
    </w:p>
    <w:p w14:paraId="4B664032" w14:textId="77777777" w:rsidR="00F50174" w:rsidRDefault="00F50174" w:rsidP="00F50174">
      <w:r>
        <w:t>What audit teams usually need is one thing: to see. Who did what, which approval it passed, which data went to whom. None of that requires administrator rights. SQL Change Guard answers this need with a dedicated role.</w:t>
      </w:r>
    </w:p>
    <w:p w14:paraId="4555B1D3" w14:textId="77777777" w:rsidR="00F50174" w:rsidRDefault="00F50174" w:rsidP="00F50174">
      <w:r>
        <w:t>What the auditor can do. See every request, review audit records, use reports and the dashboard, produce and download the evidence dossier for a request, verify the integrity of the audit trail and view notification logs.</w:t>
      </w:r>
    </w:p>
    <w:p w14:paraId="3BC5619F" w14:textId="77777777" w:rsidR="00F50174" w:rsidRDefault="00F50174" w:rsidP="00F50174">
      <w:r>
        <w:t>What the auditor cannot do. Raise a request, approve, execute, use the sandbox, manage any settings screen, or download a query result file.</w:t>
      </w:r>
    </w:p>
    <w:p w14:paraId="2D6446CC" w14:textId="77777777" w:rsidR="00F50174" w:rsidRDefault="00F50174" w:rsidP="00F50174">
      <w:r>
        <w:t>The last item is deliberate. Query result data never enters the evidence package, so the auditor reaches the evidence without reaching production data. Auditing does not require seeing personal data, so this boundary does not weaken the audit; it narrows the organization data surface.</w:t>
      </w:r>
    </w:p>
    <w:p w14:paraId="2272839E" w14:textId="77777777" w:rsidR="00F50174" w:rsidRDefault="00F50174" w:rsidP="00F50174">
      <w:r>
        <w:t>There is no adding or deleting evidence. The evidence dossier is produced from the request itself and no editable evidence store exists. If an auditor could add or delete evidence, the evidence would stop being evidence.</w:t>
      </w:r>
    </w:p>
    <w:p w14:paraId="54DBAD6E" w14:textId="77777777" w:rsidR="00F50174" w:rsidRDefault="00F50174" w:rsidP="00F50174">
      <w:r>
        <w:t>Segregation of duties. The auditor cannot be selected as an approver in a policy step, and the auditor role cannot be granted approve or execute permissions. Someone who audits must not become someone who approves, so this rule is not optional.</w:t>
      </w:r>
    </w:p>
    <w:p w14:paraId="1D6396C0" w14:textId="32F2B125" w:rsidR="00F50174" w:rsidRDefault="00F50174" w:rsidP="00F50174">
      <w:r>
        <w:t>Deployment note. The product ships with a single administrator account and no ready made auditor account. Each organization defines its own auditor, so no installation carries an audit account with a known password.</w:t>
      </w:r>
    </w:p>
    <w:sectPr w:rsidR="00F50174" w:rsidSect="00F631B6">
      <w:headerReference w:type="even" r:id="rId6"/>
      <w:headerReference w:type="default" r:id="rId7"/>
      <w:footerReference w:type="even" r:id="rId8"/>
      <w:footerReference w:type="default" r:id="rId9"/>
      <w:headerReference w:type="first" r:id="rId10"/>
      <w:footerReference w:type="first" r:id="rId11"/>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38A1" w14:textId="77777777" w:rsidR="00C75943" w:rsidRDefault="00C75943" w:rsidP="00F631B6">
      <w:pPr>
        <w:spacing w:after="0"/>
      </w:pPr>
      <w:r>
        <w:separator/>
      </w:r>
    </w:p>
  </w:endnote>
  <w:endnote w:type="continuationSeparator" w:id="0">
    <w:p w14:paraId="09992178" w14:textId="77777777" w:rsidR="00C75943" w:rsidRDefault="00C75943" w:rsidP="00F631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D1CE" w14:textId="77777777" w:rsidR="00F631B6" w:rsidRDefault="00F63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CB74" w14:textId="3DD384A6" w:rsidR="00F631B6" w:rsidRPr="00F631B6" w:rsidRDefault="00F631B6" w:rsidP="00F631B6">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EE74" w14:textId="77777777" w:rsidR="00F631B6" w:rsidRDefault="00F63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84EAF" w14:textId="77777777" w:rsidR="00C75943" w:rsidRDefault="00C75943" w:rsidP="00F631B6">
      <w:pPr>
        <w:spacing w:after="0"/>
      </w:pPr>
      <w:r>
        <w:separator/>
      </w:r>
    </w:p>
  </w:footnote>
  <w:footnote w:type="continuationSeparator" w:id="0">
    <w:p w14:paraId="645C04B0" w14:textId="77777777" w:rsidR="00C75943" w:rsidRDefault="00C75943" w:rsidP="00F631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6E09" w14:textId="77777777" w:rsidR="00F631B6" w:rsidRDefault="00F63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2C66" w14:textId="77777777" w:rsidR="00F631B6" w:rsidRDefault="00F63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F42E" w14:textId="77777777" w:rsidR="00F631B6" w:rsidRDefault="00F631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1B6"/>
    <w:rsid w:val="000279E4"/>
    <w:rsid w:val="000B04D9"/>
    <w:rsid w:val="00387FC5"/>
    <w:rsid w:val="003D4FD6"/>
    <w:rsid w:val="00444AD5"/>
    <w:rsid w:val="00485479"/>
    <w:rsid w:val="004E02AE"/>
    <w:rsid w:val="00511DDA"/>
    <w:rsid w:val="006B4AE3"/>
    <w:rsid w:val="006F2242"/>
    <w:rsid w:val="00700F45"/>
    <w:rsid w:val="007D3F66"/>
    <w:rsid w:val="007F0E99"/>
    <w:rsid w:val="008B7304"/>
    <w:rsid w:val="008E0CD4"/>
    <w:rsid w:val="0090081F"/>
    <w:rsid w:val="00922F50"/>
    <w:rsid w:val="00927849"/>
    <w:rsid w:val="00992280"/>
    <w:rsid w:val="00996866"/>
    <w:rsid w:val="009C7C79"/>
    <w:rsid w:val="00B46104"/>
    <w:rsid w:val="00B72987"/>
    <w:rsid w:val="00BA57F3"/>
    <w:rsid w:val="00BF2016"/>
    <w:rsid w:val="00C652B5"/>
    <w:rsid w:val="00C75943"/>
    <w:rsid w:val="00CB157C"/>
    <w:rsid w:val="00DB2E06"/>
    <w:rsid w:val="00DF2020"/>
    <w:rsid w:val="00E519A1"/>
    <w:rsid w:val="00F50174"/>
    <w:rsid w:val="00F631B6"/>
    <w:rsid w:val="00F6645D"/>
    <w:rsid w:val="00F70E56"/>
    <w:rsid w:val="00F70F9D"/>
    <w:rsid w:val="00F91E75"/>
    <w:rsid w:val="00FE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035D"/>
  <w15:chartTrackingRefBased/>
  <w15:docId w15:val="{CAB8B04B-9DFD-478E-9A42-907899E1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F631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31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31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31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31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31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1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1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1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1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31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31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31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31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3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1B6"/>
    <w:rPr>
      <w:rFonts w:eastAsiaTheme="majorEastAsia" w:cstheme="majorBidi"/>
      <w:color w:val="272727" w:themeColor="text1" w:themeTint="D8"/>
    </w:rPr>
  </w:style>
  <w:style w:type="paragraph" w:styleId="Title">
    <w:name w:val="Title"/>
    <w:basedOn w:val="Normal"/>
    <w:next w:val="Normal"/>
    <w:link w:val="TitleChar"/>
    <w:uiPriority w:val="10"/>
    <w:qFormat/>
    <w:rsid w:val="00F631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1B6"/>
    <w:pPr>
      <w:spacing w:before="160"/>
      <w:jc w:val="center"/>
    </w:pPr>
    <w:rPr>
      <w:i/>
      <w:iCs/>
      <w:color w:val="404040" w:themeColor="text1" w:themeTint="BF"/>
    </w:rPr>
  </w:style>
  <w:style w:type="character" w:customStyle="1" w:styleId="QuoteChar">
    <w:name w:val="Quote Char"/>
    <w:basedOn w:val="DefaultParagraphFont"/>
    <w:link w:val="Quote"/>
    <w:uiPriority w:val="29"/>
    <w:rsid w:val="00F631B6"/>
    <w:rPr>
      <w:i/>
      <w:iCs/>
      <w:color w:val="404040" w:themeColor="text1" w:themeTint="BF"/>
    </w:rPr>
  </w:style>
  <w:style w:type="paragraph" w:styleId="ListParagraph">
    <w:name w:val="List Paragraph"/>
    <w:basedOn w:val="Normal"/>
    <w:uiPriority w:val="34"/>
    <w:qFormat/>
    <w:rsid w:val="00F631B6"/>
    <w:pPr>
      <w:ind w:left="720"/>
      <w:contextualSpacing/>
    </w:pPr>
  </w:style>
  <w:style w:type="character" w:styleId="IntenseEmphasis">
    <w:name w:val="Intense Emphasis"/>
    <w:basedOn w:val="DefaultParagraphFont"/>
    <w:uiPriority w:val="21"/>
    <w:qFormat/>
    <w:rsid w:val="00F631B6"/>
    <w:rPr>
      <w:i/>
      <w:iCs/>
      <w:color w:val="2F5496" w:themeColor="accent1" w:themeShade="BF"/>
    </w:rPr>
  </w:style>
  <w:style w:type="paragraph" w:styleId="IntenseQuote">
    <w:name w:val="Intense Quote"/>
    <w:basedOn w:val="Normal"/>
    <w:next w:val="Normal"/>
    <w:link w:val="IntenseQuoteChar"/>
    <w:uiPriority w:val="30"/>
    <w:qFormat/>
    <w:rsid w:val="00F631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31B6"/>
    <w:rPr>
      <w:i/>
      <w:iCs/>
      <w:color w:val="2F5496" w:themeColor="accent1" w:themeShade="BF"/>
    </w:rPr>
  </w:style>
  <w:style w:type="character" w:styleId="IntenseReference">
    <w:name w:val="Intense Reference"/>
    <w:basedOn w:val="DefaultParagraphFont"/>
    <w:uiPriority w:val="32"/>
    <w:qFormat/>
    <w:rsid w:val="00F631B6"/>
    <w:rPr>
      <w:b/>
      <w:bCs/>
      <w:smallCaps/>
      <w:color w:val="2F5496" w:themeColor="accent1" w:themeShade="BF"/>
      <w:spacing w:val="5"/>
    </w:rPr>
  </w:style>
  <w:style w:type="paragraph" w:styleId="Header">
    <w:name w:val="header"/>
    <w:basedOn w:val="Normal"/>
    <w:link w:val="HeaderChar"/>
    <w:uiPriority w:val="99"/>
    <w:unhideWhenUsed/>
    <w:rsid w:val="00F631B6"/>
    <w:pPr>
      <w:tabs>
        <w:tab w:val="center" w:pos="4703"/>
        <w:tab w:val="right" w:pos="9406"/>
      </w:tabs>
      <w:spacing w:after="0"/>
    </w:pPr>
  </w:style>
  <w:style w:type="character" w:customStyle="1" w:styleId="HeaderChar">
    <w:name w:val="Header Char"/>
    <w:basedOn w:val="DefaultParagraphFont"/>
    <w:link w:val="Header"/>
    <w:uiPriority w:val="99"/>
    <w:rsid w:val="00F631B6"/>
    <w:rPr>
      <w:rFonts w:ascii="Segoe UI" w:hAnsi="Segoe UI"/>
      <w:color w:val="1E293B"/>
      <w:sz w:val="22"/>
    </w:rPr>
  </w:style>
  <w:style w:type="paragraph" w:styleId="Footer">
    <w:name w:val="footer"/>
    <w:basedOn w:val="Normal"/>
    <w:link w:val="FooterChar"/>
    <w:uiPriority w:val="99"/>
    <w:unhideWhenUsed/>
    <w:rsid w:val="00F631B6"/>
    <w:pPr>
      <w:tabs>
        <w:tab w:val="center" w:pos="4703"/>
        <w:tab w:val="right" w:pos="9406"/>
      </w:tabs>
      <w:spacing w:after="0"/>
    </w:pPr>
  </w:style>
  <w:style w:type="character" w:customStyle="1" w:styleId="FooterChar">
    <w:name w:val="Footer Char"/>
    <w:basedOn w:val="DefaultParagraphFont"/>
    <w:link w:val="Footer"/>
    <w:uiPriority w:val="99"/>
    <w:rsid w:val="00F631B6"/>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2035</Words>
  <Characters>11603</Characters>
  <Application>Microsoft Office Word</Application>
  <DocSecurity>0</DocSecurity>
  <Lines>96</Lines>
  <Paragraphs>27</Paragraphs>
  <ScaleCrop>false</ScaleCrop>
  <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11</cp:revision>
  <dcterms:created xsi:type="dcterms:W3CDTF">2026-07-13T13:11:00Z</dcterms:created>
  <dcterms:modified xsi:type="dcterms:W3CDTF">2026-08-03T12:06:00Z</dcterms:modified>
</cp:coreProperties>
</file>