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D3C1C" w14:textId="77777777" w:rsidR="007F0E99" w:rsidRDefault="007F0E99"/>
    <w:p w14:paraId="4389B5AE" w14:textId="77777777" w:rsidR="00F631B6" w:rsidRDefault="00F631B6"/>
    <w:p w14:paraId="7C8595DD" w14:textId="77777777" w:rsidR="00F631B6" w:rsidRDefault="00F631B6"/>
    <w:p w14:paraId="6387C0F3" w14:textId="77777777" w:rsidR="00F631B6" w:rsidRDefault="00F631B6"/>
    <w:p w14:paraId="6CCEC8C3" w14:textId="53F8DCEC" w:rsidR="00F631B6" w:rsidRDefault="00F631B6" w:rsidP="00F631B6">
      <w:pPr>
        <w:jc w:val="center"/>
        <w:rPr>
          <w:rFonts w:ascii="Segoe UI Semibold" w:hAnsi="Segoe UI Semibold"/>
          <w:b/>
          <w:color w:val="0F2544"/>
          <w:sz w:val="68"/>
        </w:rPr>
      </w:pPr>
      <w:r>
        <w:rPr>
          <w:rFonts w:ascii="Segoe UI Semibold" w:hAnsi="Segoe UI Semibold"/>
          <w:b/>
          <w:color w:val="0F2544"/>
          <w:sz w:val="68"/>
        </w:rPr>
        <w:t>SQL Change Guard</w:t>
      </w:r>
    </w:p>
    <w:p w14:paraId="6F769D86" w14:textId="3485FDAA" w:rsidR="00F631B6" w:rsidRDefault="00F631B6" w:rsidP="00F631B6">
      <w:pPr>
        <w:spacing w:after="80"/>
        <w:jc w:val="center"/>
        <w:rPr>
          <w:rFonts w:cs="Segoe UI"/>
          <w:sz w:val="32"/>
        </w:rPr>
      </w:pPr>
      <w:r>
        <w:rPr>
          <w:rFonts w:cs="Segoe UI"/>
          <w:sz w:val="32"/>
        </w:rPr>
        <w:t>Frequently Asked Questions</w:t>
      </w:r>
    </w:p>
    <w:p w14:paraId="128CE035" w14:textId="418213B7" w:rsidR="00F631B6" w:rsidRDefault="00F631B6" w:rsidP="00F631B6">
      <w:pPr>
        <w:spacing w:after="80"/>
        <w:jc w:val="center"/>
        <w:rPr>
          <w:rFonts w:ascii="Arial" w:hAnsi="Arial" w:cs="Arial"/>
          <w:color w:val="0F2544"/>
          <w:sz w:val="24"/>
        </w:rPr>
      </w:pPr>
      <w:r>
        <w:rPr>
          <w:rFonts w:ascii="Arial" w:hAnsi="Arial" w:cs="Arial"/>
          <w:color w:val="0F2544"/>
          <w:sz w:val="24"/>
        </w:rPr>
        <w:t>────────────────────────</w:t>
      </w:r>
    </w:p>
    <w:p w14:paraId="17F00CD5" w14:textId="6F2913CE" w:rsidR="00F631B6" w:rsidRDefault="00F631B6" w:rsidP="00F631B6">
      <w:pPr>
        <w:spacing w:before="120" w:after="80"/>
        <w:jc w:val="center"/>
        <w:rPr>
          <w:rFonts w:cs="Segoe UI"/>
          <w:color w:val="5A697D"/>
          <w:sz w:val="24"/>
        </w:rPr>
      </w:pPr>
      <w:r>
        <w:rPr>
          <w:rFonts w:cs="Segoe UI"/>
          <w:color w:val="5A697D"/>
          <w:sz w:val="24"/>
        </w:rPr>
        <w:t>Enterprise FAQ</w:t>
      </w:r>
    </w:p>
    <w:p w14:paraId="4031EF7D" w14:textId="56BD6D45" w:rsidR="00F631B6" w:rsidRDefault="00F631B6" w:rsidP="00F631B6">
      <w:pPr>
        <w:spacing w:before="480" w:after="0"/>
        <w:jc w:val="center"/>
        <w:rPr>
          <w:rFonts w:cs="Segoe UI"/>
          <w:color w:val="5A697D"/>
          <w:sz w:val="20"/>
        </w:rPr>
      </w:pPr>
      <w:r>
        <w:rPr>
          <w:rFonts w:cs="Segoe UI"/>
          <w:color w:val="5A697D"/>
          <w:sz w:val="20"/>
        </w:rPr>
        <w:t>SQL Server  |  PostgreSQL  |  Oracle</w:t>
      </w:r>
    </w:p>
    <w:p w14:paraId="2AB05DCD" w14:textId="4B0B426F" w:rsidR="00F631B6" w:rsidRDefault="00F631B6">
      <w:pPr>
        <w:spacing w:after="160" w:line="278" w:lineRule="auto"/>
        <w:rPr>
          <w:rFonts w:cs="Segoe UI"/>
          <w:color w:val="5A697D"/>
          <w:sz w:val="20"/>
        </w:rPr>
      </w:pPr>
      <w:r>
        <w:rPr>
          <w:rFonts w:cs="Segoe UI"/>
          <w:color w:val="5A697D"/>
          <w:sz w:val="20"/>
        </w:rPr>
        <w:br w:type="page"/>
      </w:r>
    </w:p>
    <w:p w14:paraId="0A0088AD" w14:textId="5187FAFC" w:rsidR="00F631B6" w:rsidRDefault="00F631B6" w:rsidP="00F631B6">
      <w:pPr>
        <w:spacing w:before="280"/>
        <w:rPr>
          <w:rFonts w:ascii="Segoe UI Semibold" w:hAnsi="Segoe UI Semibold" w:cs="Segoe UI Semibold"/>
          <w:b/>
          <w:color w:val="0F2544"/>
          <w:sz w:val="40"/>
        </w:rPr>
      </w:pPr>
      <w:r>
        <w:rPr>
          <w:rFonts w:ascii="Segoe UI Semibold" w:hAnsi="Segoe UI Semibold" w:cs="Segoe UI Semibold"/>
          <w:b/>
          <w:color w:val="0F2544"/>
          <w:sz w:val="40"/>
        </w:rPr>
        <w:lastRenderedPageBreak/>
        <w:t>General</w:t>
      </w:r>
    </w:p>
    <w:p w14:paraId="6FBFBC80" w14:textId="29AF7921" w:rsidR="00F631B6" w:rsidRDefault="00F631B6" w:rsidP="00F631B6">
      <w:pPr>
        <w:spacing w:before="200" w:after="80"/>
        <w:rPr>
          <w:rFonts w:ascii="Segoe UI Semibold" w:hAnsi="Segoe UI Semibold" w:cs="Segoe UI Semibold"/>
          <w:b/>
          <w:sz w:val="28"/>
        </w:rPr>
      </w:pPr>
      <w:r>
        <w:rPr>
          <w:rFonts w:ascii="Segoe UI Semibold" w:hAnsi="Segoe UI Semibold" w:cs="Segoe UI Semibold"/>
          <w:b/>
          <w:sz w:val="28"/>
        </w:rPr>
        <w:t>What exactly does SQL Change Guard do?</w:t>
      </w:r>
    </w:p>
    <w:p w14:paraId="22BDD83E" w14:textId="7B962EDE" w:rsidR="00F631B6" w:rsidRDefault="00E6572F" w:rsidP="00F631B6">
      <w:pPr>
        <w:rPr>
          <w:rFonts w:cs="Segoe UI"/>
        </w:rPr>
      </w:pPr>
      <w:r>
        <w:rPr>
          <w:rFonts w:cs="Segoe UI"/>
        </w:rPr>
        <w:t>It manages database changes (Database Change Governance), production data access (Production Query Governance) and compliance evidence (Compliance and Audit) in one platform. It analyzes changes before deployment with 88 SQL standards, assigns a risk band, runs them through an approval workflow, executes them and keeps an audit trail. The product governs the operations performed through it; it does not listen to live database traffic and does not block operations performed outside the product.</w:t>
      </w:r>
    </w:p>
    <w:p w14:paraId="79450664" w14:textId="68131B18" w:rsidR="00F631B6" w:rsidRDefault="00F631B6" w:rsidP="00F631B6">
      <w:pPr>
        <w:spacing w:before="200" w:after="80"/>
        <w:rPr>
          <w:rFonts w:ascii="Segoe UI Semibold" w:hAnsi="Segoe UI Semibold" w:cs="Segoe UI Semibold"/>
          <w:b/>
          <w:sz w:val="28"/>
        </w:rPr>
      </w:pPr>
      <w:r>
        <w:rPr>
          <w:rFonts w:ascii="Segoe UI Semibold" w:hAnsi="Segoe UI Semibold" w:cs="Segoe UI Semibold"/>
          <w:b/>
          <w:sz w:val="28"/>
        </w:rPr>
        <w:t>How is it different from migration tools (like Flyway, Liquibase)?</w:t>
      </w:r>
    </w:p>
    <w:p w14:paraId="5A19040C" w14:textId="5B6CC399" w:rsidR="00F631B6" w:rsidRDefault="00E6572F" w:rsidP="00F631B6">
      <w:pPr>
        <w:rPr>
          <w:rFonts w:cs="Segoe UI"/>
        </w:rPr>
      </w:pPr>
      <w:r>
        <w:rPr>
          <w:rFonts w:cs="Segoe UI"/>
        </w:rPr>
        <w:t>Beyond the migration-based approach, it offers production data access governance, sensitive data masking, a policy engine, risk analysis, rollback script generation and signed audit evidence. It is not just schema deployment, but end to end database operations governance.</w:t>
      </w:r>
    </w:p>
    <w:p w14:paraId="1E9C529E" w14:textId="6E1A3C8E" w:rsidR="00F631B6" w:rsidRDefault="00F631B6" w:rsidP="00F631B6">
      <w:pPr>
        <w:spacing w:before="280"/>
        <w:rPr>
          <w:rFonts w:ascii="Segoe UI Semibold" w:hAnsi="Segoe UI Semibold" w:cs="Segoe UI Semibold"/>
          <w:b/>
          <w:color w:val="0F2544"/>
          <w:sz w:val="40"/>
        </w:rPr>
      </w:pPr>
      <w:r>
        <w:rPr>
          <w:rFonts w:ascii="Segoe UI Semibold" w:hAnsi="Segoe UI Semibold" w:cs="Segoe UI Semibold"/>
          <w:b/>
          <w:color w:val="0F2544"/>
          <w:sz w:val="40"/>
        </w:rPr>
        <w:t>Databases and Installation</w:t>
      </w:r>
    </w:p>
    <w:p w14:paraId="20113519" w14:textId="4F2EC1A5" w:rsidR="00F631B6" w:rsidRDefault="00F631B6" w:rsidP="00F631B6">
      <w:pPr>
        <w:spacing w:before="200" w:after="80"/>
        <w:rPr>
          <w:rFonts w:ascii="Segoe UI Semibold" w:hAnsi="Segoe UI Semibold" w:cs="Segoe UI Semibold"/>
          <w:b/>
          <w:sz w:val="28"/>
        </w:rPr>
      </w:pPr>
      <w:r>
        <w:rPr>
          <w:rFonts w:ascii="Segoe UI Semibold" w:hAnsi="Segoe UI Semibold" w:cs="Segoe UI Semibold"/>
          <w:b/>
          <w:sz w:val="28"/>
        </w:rPr>
        <w:t>Which databases are supported?</w:t>
      </w:r>
    </w:p>
    <w:p w14:paraId="3A76DE99" w14:textId="7D465B83" w:rsidR="00F631B6" w:rsidRDefault="00F631B6" w:rsidP="00F631B6">
      <w:pPr>
        <w:rPr>
          <w:rFonts w:cs="Segoe UI"/>
        </w:rPr>
      </w:pPr>
      <w:r>
        <w:rPr>
          <w:rFonts w:cs="Segoe UI"/>
        </w:rPr>
        <w:t>SQL Server, PostgreSQL and Oracle. Each has its own parser and rule engine; the same governance model works across all three. The application's own management database is SQL Server.</w:t>
      </w:r>
    </w:p>
    <w:p w14:paraId="7CC056E0" w14:textId="79D1BE1E" w:rsidR="00F631B6" w:rsidRDefault="00F631B6" w:rsidP="00F631B6">
      <w:pPr>
        <w:spacing w:before="200" w:after="80"/>
        <w:rPr>
          <w:rFonts w:ascii="Segoe UI Semibold" w:hAnsi="Segoe UI Semibold" w:cs="Segoe UI Semibold"/>
          <w:b/>
          <w:sz w:val="28"/>
        </w:rPr>
      </w:pPr>
      <w:r>
        <w:rPr>
          <w:rFonts w:ascii="Segoe UI Semibold" w:hAnsi="Segoe UI Semibold" w:cs="Segoe UI Semibold"/>
          <w:b/>
          <w:sz w:val="28"/>
        </w:rPr>
        <w:t>Is an internet connection required?</w:t>
      </w:r>
    </w:p>
    <w:p w14:paraId="472C2B5E" w14:textId="29F4FD16" w:rsidR="00F631B6" w:rsidRDefault="00E6572F" w:rsidP="00F631B6">
      <w:pPr>
        <w:rPr>
          <w:rFonts w:cs="Segoe UI"/>
        </w:rPr>
      </w:pPr>
      <w:r>
        <w:rPr>
          <w:rFonts w:cs="Segoe UI"/>
        </w:rPr>
        <w:t>No. The product runs on-premise and its core operation requires no internet. If the optional time-stamping is turned on, only a SHA-256 digest leaves the network; this feature is off by default. The installation steps are in 06 Installation Prerequisites and 07 Installation and Operations.</w:t>
      </w:r>
    </w:p>
    <w:p w14:paraId="7D6354A6" w14:textId="66B35718" w:rsidR="00F631B6" w:rsidRDefault="00F631B6" w:rsidP="00F631B6">
      <w:pPr>
        <w:spacing w:before="280"/>
        <w:rPr>
          <w:rFonts w:ascii="Segoe UI Semibold" w:hAnsi="Segoe UI Semibold" w:cs="Segoe UI Semibold"/>
          <w:b/>
          <w:color w:val="0F2544"/>
          <w:sz w:val="40"/>
        </w:rPr>
      </w:pPr>
      <w:r>
        <w:rPr>
          <w:rFonts w:ascii="Segoe UI Semibold" w:hAnsi="Segoe UI Semibold" w:cs="Segoe UI Semibold"/>
          <w:b/>
          <w:color w:val="0F2544"/>
          <w:sz w:val="40"/>
        </w:rPr>
        <w:t>Security and Compliance</w:t>
      </w:r>
    </w:p>
    <w:p w14:paraId="55A46684" w14:textId="1EFDADD9" w:rsidR="00F631B6" w:rsidRDefault="00F631B6" w:rsidP="00F631B6">
      <w:pPr>
        <w:spacing w:before="200" w:after="80"/>
        <w:rPr>
          <w:rFonts w:ascii="Segoe UI Semibold" w:hAnsi="Segoe UI Semibold" w:cs="Segoe UI Semibold"/>
          <w:b/>
          <w:sz w:val="28"/>
        </w:rPr>
      </w:pPr>
      <w:r>
        <w:rPr>
          <w:rFonts w:ascii="Segoe UI Semibold" w:hAnsi="Segoe UI Semibold" w:cs="Segoe UI Semibold"/>
          <w:b/>
          <w:sz w:val="28"/>
        </w:rPr>
        <w:t>How does it prevent errors like DELETE/UPDATE without a WHERE clause?</w:t>
      </w:r>
    </w:p>
    <w:p w14:paraId="621AB11A" w14:textId="64FA1D99" w:rsidR="00F631B6" w:rsidRDefault="00E6572F" w:rsidP="00F631B6">
      <w:pPr>
        <w:rPr>
          <w:rFonts w:cs="Segoe UI"/>
        </w:rPr>
      </w:pPr>
      <w:r>
        <w:rPr>
          <w:rFonts w:cs="Segoe UI"/>
        </w:rPr>
        <w:t>When a script is saved, the parser engages. A DELETE or UPDATE without a WHERE clause is a finding in the High risk band and ships as a rule that blocks saving: the request cannot be saved as it is, so it cannot be executed.</w:t>
      </w:r>
    </w:p>
    <w:p w14:paraId="07E7FC60" w14:textId="69C99F0D" w:rsidR="00F631B6" w:rsidRDefault="00F631B6" w:rsidP="00F631B6">
      <w:pPr>
        <w:spacing w:before="200" w:after="80"/>
        <w:rPr>
          <w:rFonts w:ascii="Segoe UI Semibold" w:hAnsi="Segoe UI Semibold" w:cs="Segoe UI Semibold"/>
          <w:b/>
          <w:sz w:val="28"/>
        </w:rPr>
      </w:pPr>
      <w:r>
        <w:rPr>
          <w:rFonts w:ascii="Segoe UI Semibold" w:hAnsi="Segoe UI Semibold" w:cs="Segoe UI Semibold"/>
          <w:b/>
          <w:sz w:val="28"/>
        </w:rPr>
        <w:t>Is it suitable for KVKK and banking audits?</w:t>
      </w:r>
    </w:p>
    <w:p w14:paraId="310D445A" w14:textId="07C15532" w:rsidR="00F631B6" w:rsidRDefault="00E6572F" w:rsidP="00F631B6">
      <w:pPr>
        <w:rPr>
          <w:rFonts w:cs="Segoe UI"/>
        </w:rPr>
      </w:pPr>
      <w:r>
        <w:rPr>
          <w:rFonts w:cs="Segoe UI"/>
        </w:rPr>
        <w:t>The product does not by itself provide regulatory compliance or certification. It produces records that contribute to KVKK, ISO 27001, COBIT and ITIL control expectations: sensitive data masking, audit records in an append-only ledger table, approval evidence and 34 built-in reports. Which record contributes to which expectation is described in 11 Compliance and KVKK.</w:t>
      </w:r>
    </w:p>
    <w:p w14:paraId="10204456" w14:textId="40EA4C71" w:rsidR="00F631B6" w:rsidRDefault="00F631B6" w:rsidP="00F631B6">
      <w:pPr>
        <w:spacing w:before="200" w:after="80"/>
        <w:rPr>
          <w:rFonts w:ascii="Segoe UI Semibold" w:hAnsi="Segoe UI Semibold" w:cs="Segoe UI Semibold"/>
          <w:b/>
          <w:sz w:val="28"/>
        </w:rPr>
      </w:pPr>
      <w:r>
        <w:rPr>
          <w:rFonts w:ascii="Segoe UI Semibold" w:hAnsi="Segoe UI Semibold" w:cs="Segoe UI Semibold"/>
          <w:b/>
          <w:sz w:val="28"/>
        </w:rPr>
        <w:t>How does it protect sensitive data?</w:t>
      </w:r>
    </w:p>
    <w:p w14:paraId="068E92D5" w14:textId="32CC6C28" w:rsidR="00F631B6" w:rsidRDefault="00F631B6" w:rsidP="00F631B6">
      <w:pPr>
        <w:rPr>
          <w:rFonts w:cs="Segoe UI"/>
        </w:rPr>
      </w:pPr>
      <w:r>
        <w:rPr>
          <w:rFonts w:cs="Segoe UI"/>
        </w:rPr>
        <w:lastRenderedPageBreak/>
        <w:t xml:space="preserve">Patterns such as national ID, card, IBAN and phone are </w:t>
      </w:r>
      <w:r w:rsidR="00485479">
        <w:rPr>
          <w:rFonts w:cs="Segoe UI"/>
        </w:rPr>
        <w:t>detected via regex and validation algorithms</w:t>
      </w:r>
      <w:r>
        <w:rPr>
          <w:rFonts w:cs="Segoe UI"/>
        </w:rPr>
        <w:t>; sensitive columns are masked automatically (</w:t>
      </w:r>
      <w:r w:rsidR="00485479">
        <w:rPr>
          <w:rFonts w:cs="Segoe UI"/>
        </w:rPr>
        <w:t>full mask / partial mask</w:t>
      </w:r>
      <w:r>
        <w:rPr>
          <w:rFonts w:cs="Segoe UI"/>
        </w:rPr>
        <w:t>). Unmasked data requires extra approval; results are delivered as an encrypted ZIP and a download record is kept.</w:t>
      </w:r>
    </w:p>
    <w:p w14:paraId="02E698B4" w14:textId="76BFF946" w:rsidR="007D35A3" w:rsidRDefault="007D35A3" w:rsidP="00F631B6">
      <w:pPr>
        <w:spacing w:before="200" w:after="80"/>
        <w:rPr>
          <w:rFonts w:ascii="Segoe UI Semibold" w:hAnsi="Segoe UI Semibold" w:cs="Segoe UI Semibold"/>
          <w:b/>
          <w:sz w:val="28"/>
        </w:rPr>
      </w:pPr>
      <w:r>
        <w:rPr>
          <w:rFonts w:ascii="Segoe UI Semibold" w:hAnsi="Segoe UI Semibold" w:cs="Segoe UI Semibold"/>
          <w:b/>
          <w:sz w:val="28"/>
        </w:rPr>
        <w:t>Can we sign in with our corporate account (Entra ID, AD FS)?</w:t>
      </w:r>
    </w:p>
    <w:p w14:paraId="48E67003" w14:textId="479F7CE5" w:rsidR="007D35A3" w:rsidRDefault="00E6572F" w:rsidP="00F631B6">
      <w:pPr>
        <w:rPr>
          <w:rFonts w:cs="Segoe UI"/>
        </w:rPr>
      </w:pPr>
      <w:r>
        <w:rPr>
          <w:rFonts w:cs="Segoe UI"/>
        </w:rPr>
        <w:t>Yes. The product connects to your identity provider with OIDC and SAML 2.0 (for example Microsoft Entra ID, AD FS, Keycloak, Okta). Users enter their password and multi-factor verification on your own sign-in page; the password never reaches the product. The role is given from the corporate group according to the mapping you define, and a person removed from the group loses the permission at the next sign-in. The SystemManager role is never given by a mapping. If the identity system is unreachable, only the break-glass accounts you choose sign in with a password and every such sign-in is written to the audit trail. LDAP and local accounts can stay in use at the same time.</w:t>
      </w:r>
    </w:p>
    <w:p w14:paraId="59D4B6A2" w14:textId="43CF7915" w:rsidR="00414403" w:rsidRDefault="00414403" w:rsidP="00F631B6">
      <w:pPr>
        <w:spacing w:before="200" w:after="80"/>
        <w:rPr>
          <w:rFonts w:ascii="Segoe UI Semibold" w:hAnsi="Segoe UI Semibold" w:cs="Segoe UI Semibold"/>
          <w:b/>
          <w:sz w:val="28"/>
        </w:rPr>
      </w:pPr>
      <w:r>
        <w:rPr>
          <w:rFonts w:ascii="Segoe UI Semibold" w:hAnsi="Segoe UI Semibold" w:cs="Segoe UI Semibold"/>
          <w:b/>
          <w:sz w:val="28"/>
        </w:rPr>
        <w:t>We have Active Directory but do not want to set up SSO. Can users sign in with their corporate password?</w:t>
      </w:r>
    </w:p>
    <w:p w14:paraId="5A6B13F1" w14:textId="7D83EB75" w:rsidR="00414403" w:rsidRDefault="00414403" w:rsidP="00F631B6">
      <w:pPr>
        <w:rPr>
          <w:rFonts w:cs="Segoe UI"/>
        </w:rPr>
      </w:pPr>
      <w:r>
        <w:rPr>
          <w:rFonts w:cs="Segoe UI"/>
        </w:rPr>
        <w:t>Yes. The product connects to your corporate directory (Active Directory or an LDAP directory such as OpenLDAP) over an encrypted connection. The person types the corporate username and password on the sign-in page; the product does not store the password, it asks the directory. The role can be granted by an administrator or come from the directory group according to the mapping you define. Regular directory synchronisation closes the product access and the open session of a person disabled or deleted in the directory; a safety limit prevents a mass error from locking everyone out. Two-step verification is available for directory accounts as well.</w:t>
      </w:r>
    </w:p>
    <w:p w14:paraId="2DCD9FCD" w14:textId="44783997" w:rsidR="009C7C79" w:rsidRDefault="009C7C79" w:rsidP="00F631B6">
      <w:pPr>
        <w:rPr>
          <w:rFonts w:cs="Segoe UI"/>
        </w:rPr>
      </w:pPr>
      <w:r>
        <w:rPr>
          <w:rFonts w:cs="Segoe UI"/>
          <w:b/>
        </w:rPr>
        <w:t>What do I give an auditor who wants all the evidence for a single request?</w:t>
      </w:r>
    </w:p>
    <w:p w14:paraId="44368D24" w14:textId="4C956544" w:rsidR="009C7C79" w:rsidRPr="009C7C79" w:rsidRDefault="00E6572F" w:rsidP="00F631B6">
      <w:pPr>
        <w:rPr>
          <w:rFonts w:cs="Segoe UI"/>
        </w:rPr>
      </w:pPr>
      <w:r>
        <w:rPr>
          <w:rFonts w:cs="Segoe UI"/>
        </w:rPr>
        <w:t>From the request detail screen you download an Evidence File with one click: the request identity, segregation of duties, approval evidence, script fingerprint (the record that the product compared the content to run with the approved content; on its own it does not prove what happened on the target), risk band, execution record and the full audit trail are gathered into one ZIP package (PDF and JSON). The SHA-256 digests of the files are listed in a manifest and the manifest is signed; the package can be verified as unchanged in two ways: through the system, or without touching the system at all. In the second way the signature is verified with the public key in the package; the auditor does this on their own computer and no confidential value of the organisation is shared. The fingerprint of the public key should be confirmed with the organisation separately, because the verification script inside the package is not evidence on its own. If evidence signing has not been turned on, the package is unsigned and verification reports it as UNSIGNED. Downloading requires a separate permission and the action itself is audited.</w:t>
      </w:r>
    </w:p>
    <w:p w14:paraId="5FDF17D7" w14:textId="0CA27F9B" w:rsidR="00F631B6" w:rsidRDefault="00F631B6">
      <w:pPr>
        <w:spacing w:after="160" w:line="278" w:lineRule="auto"/>
        <w:rPr>
          <w:rFonts w:cs="Segoe UI"/>
        </w:rPr>
      </w:pPr>
      <w:r>
        <w:rPr>
          <w:rFonts w:cs="Segoe UI"/>
        </w:rPr>
        <w:br w:type="page"/>
      </w:r>
    </w:p>
    <w:p w14:paraId="51061162" w14:textId="70D5BFA7" w:rsidR="00F631B6" w:rsidRDefault="00F631B6" w:rsidP="00F631B6">
      <w:pPr>
        <w:spacing w:before="280"/>
        <w:rPr>
          <w:rFonts w:ascii="Segoe UI Semibold" w:hAnsi="Segoe UI Semibold" w:cs="Segoe UI Semibold"/>
          <w:b/>
          <w:color w:val="0F2544"/>
          <w:sz w:val="40"/>
        </w:rPr>
      </w:pPr>
      <w:r>
        <w:rPr>
          <w:rFonts w:ascii="Segoe UI Semibold" w:hAnsi="Segoe UI Semibold" w:cs="Segoe UI Semibold"/>
          <w:b/>
          <w:color w:val="0F2544"/>
          <w:sz w:val="40"/>
        </w:rPr>
        <w:lastRenderedPageBreak/>
        <w:t>Change and Rollback</w:t>
      </w:r>
    </w:p>
    <w:p w14:paraId="0476193A" w14:textId="41B27C9E" w:rsidR="00F631B6" w:rsidRDefault="00F631B6" w:rsidP="00F631B6">
      <w:pPr>
        <w:spacing w:before="200" w:after="80"/>
        <w:rPr>
          <w:rFonts w:ascii="Segoe UI Semibold" w:hAnsi="Segoe UI Semibold" w:cs="Segoe UI Semibold"/>
          <w:b/>
          <w:sz w:val="28"/>
        </w:rPr>
      </w:pPr>
      <w:r>
        <w:rPr>
          <w:rFonts w:ascii="Segoe UI Semibold" w:hAnsi="Segoe UI Semibold" w:cs="Segoe UI Semibold"/>
          <w:b/>
          <w:sz w:val="28"/>
        </w:rPr>
        <w:t>How does rollback work?</w:t>
      </w:r>
    </w:p>
    <w:p w14:paraId="436D4D50" w14:textId="3E07830C" w:rsidR="00F631B6" w:rsidRDefault="00E6572F" w:rsidP="00F631B6">
      <w:pPr>
        <w:rPr>
          <w:rFonts w:cs="Segoe UI"/>
        </w:rPr>
      </w:pPr>
      <w:r>
        <w:rPr>
          <w:rFonts w:cs="Segoe UI"/>
        </w:rPr>
        <w:t>A rollback script can be generated for changes: for object changes (DDL) the script is built from the previous definition of the object; for data changes (INSERT, UPDATE, DELETE, MERGE) no script is generated, a manual intervention note is written and the plan counts as incomplete. Because DDL, DCL and TRUNCATE implicitly commit on Oracle, a rollback plan is mandatory for such Oracle changes and can be prepared automatically at approval time. If the scripts of the source request are edited, the old rollback plan is invalidated with the user's confirmation and has to be prepared again.</w:t>
      </w:r>
    </w:p>
    <w:p w14:paraId="0BAA0DA9" w14:textId="15DABA7A" w:rsidR="00F631B6" w:rsidRDefault="00F631B6" w:rsidP="00F631B6">
      <w:pPr>
        <w:spacing w:before="200" w:after="80"/>
        <w:rPr>
          <w:rFonts w:ascii="Segoe UI Semibold" w:hAnsi="Segoe UI Semibold" w:cs="Segoe UI Semibold"/>
          <w:b/>
          <w:sz w:val="28"/>
        </w:rPr>
      </w:pPr>
      <w:r>
        <w:rPr>
          <w:rFonts w:ascii="Segoe UI Semibold" w:hAnsi="Segoe UI Semibold" w:cs="Segoe UI Semibold"/>
          <w:b/>
          <w:sz w:val="28"/>
        </w:rPr>
        <w:t>What is the sandbox for?</w:t>
      </w:r>
    </w:p>
    <w:p w14:paraId="7CD00DD5" w14:textId="12C231C1" w:rsidR="00F631B6" w:rsidRDefault="00E6572F" w:rsidP="00F631B6">
      <w:pPr>
        <w:rPr>
          <w:rFonts w:cs="Segoe UI"/>
        </w:rPr>
      </w:pPr>
      <w:r>
        <w:rPr>
          <w:rFonts w:cs="Segoe UI"/>
        </w:rPr>
        <w:t>It pre-validates a change by running it inside a transaction on the target database and rolling it back (BEGIN-ROLLBACK), so syntax and object errors are seen before the live run. It is not a full simulation of production conditions. Because DDL, DCL and TRUNCATE implicitly commit on Oracle, requests containing them are not run in the sandbox; with the default settings the sandbox is off on production servers.</w:t>
      </w:r>
    </w:p>
    <w:p w14:paraId="6D0BE15B" w14:textId="7BD1505F" w:rsidR="00F631B6" w:rsidRDefault="00F631B6" w:rsidP="00F631B6">
      <w:pPr>
        <w:spacing w:before="280"/>
        <w:rPr>
          <w:rFonts w:ascii="Segoe UI Semibold" w:hAnsi="Segoe UI Semibold" w:cs="Segoe UI Semibold"/>
          <w:b/>
          <w:color w:val="0F2544"/>
          <w:sz w:val="40"/>
        </w:rPr>
      </w:pPr>
      <w:r>
        <w:rPr>
          <w:rFonts w:ascii="Segoe UI Semibold" w:hAnsi="Segoe UI Semibold" w:cs="Segoe UI Semibold"/>
          <w:b/>
          <w:color w:val="0F2544"/>
          <w:sz w:val="40"/>
        </w:rPr>
        <w:t>Commercial</w:t>
      </w:r>
    </w:p>
    <w:p w14:paraId="6FFAC79A" w14:textId="02C853B0" w:rsidR="00F631B6" w:rsidRDefault="00F631B6" w:rsidP="00F631B6">
      <w:pPr>
        <w:spacing w:before="200" w:after="80"/>
        <w:rPr>
          <w:rFonts w:ascii="Segoe UI Semibold" w:hAnsi="Segoe UI Semibold" w:cs="Segoe UI Semibold"/>
          <w:b/>
          <w:sz w:val="28"/>
        </w:rPr>
      </w:pPr>
      <w:r>
        <w:rPr>
          <w:rFonts w:ascii="Segoe UI Semibold" w:hAnsi="Segoe UI Semibold" w:cs="Segoe UI Semibold"/>
          <w:b/>
          <w:sz w:val="28"/>
        </w:rPr>
        <w:t>How is it priced?</w:t>
      </w:r>
    </w:p>
    <w:p w14:paraId="46B0C62F" w14:textId="34861988" w:rsidR="00F631B6" w:rsidRDefault="00E6572F" w:rsidP="00F631B6">
      <w:pPr>
        <w:rPr>
          <w:rFonts w:cs="Segoe UI"/>
        </w:rPr>
      </w:pPr>
      <w:r>
        <w:rPr>
          <w:rFonts w:cs="Segoe UI"/>
        </w:rPr>
        <w:t>The price has two items: a fixed platform fee and a production database server fee. The server fee is tiered; every additional server costs less than the one before it. Users are unlimited; every module and all three database engines are included in the platform fee, modules are not sold separately; test, development and staging environments are free. Details are in 13 Licensing Model. Request a free demo to get a quote.</w:t>
      </w:r>
    </w:p>
    <w:p w14:paraId="6F24A1AB" w14:textId="6B5B0F62" w:rsidR="00F631B6" w:rsidRDefault="00F631B6" w:rsidP="00F631B6">
      <w:pPr>
        <w:spacing w:before="200" w:after="80"/>
        <w:rPr>
          <w:rFonts w:ascii="Segoe UI Semibold" w:hAnsi="Segoe UI Semibold" w:cs="Segoe UI Semibold"/>
          <w:b/>
          <w:sz w:val="28"/>
        </w:rPr>
      </w:pPr>
      <w:r>
        <w:rPr>
          <w:rFonts w:ascii="Segoe UI Semibold" w:hAnsi="Segoe UI Semibold" w:cs="Segoe UI Semibold"/>
          <w:b/>
          <w:sz w:val="28"/>
        </w:rPr>
        <w:t>How do I get started?</w:t>
      </w:r>
    </w:p>
    <w:p w14:paraId="45CBCA53" w14:textId="361DAA45" w:rsidR="00F631B6" w:rsidRDefault="00F631B6" w:rsidP="00F631B6">
      <w:pPr>
        <w:rPr>
          <w:rFonts w:cs="Segoe UI"/>
        </w:rPr>
      </w:pPr>
      <w:r>
        <w:rPr>
          <w:rFonts w:cs="Segoe UI"/>
        </w:rPr>
        <w:t>Write to info@sqlchangeguard.com or call +90 505 621 29 02; let us plan a short 20-30 minute online demo.</w:t>
      </w:r>
    </w:p>
    <w:p w14:paraId="1B4999D2" w14:textId="719ED2E5" w:rsidR="00F631B6" w:rsidRDefault="00F631B6" w:rsidP="00F631B6">
      <w:pPr>
        <w:spacing w:before="280"/>
        <w:rPr>
          <w:rFonts w:ascii="Segoe UI Semibold" w:hAnsi="Segoe UI Semibold" w:cs="Segoe UI Semibold"/>
          <w:b/>
          <w:color w:val="0F2544"/>
          <w:sz w:val="40"/>
        </w:rPr>
      </w:pPr>
      <w:r>
        <w:rPr>
          <w:rFonts w:ascii="Segoe UI Semibold" w:hAnsi="Segoe UI Semibold" w:cs="Segoe UI Semibold"/>
          <w:b/>
          <w:color w:val="0F2544"/>
          <w:sz w:val="40"/>
        </w:rPr>
        <w:t>Contact</w:t>
      </w:r>
    </w:p>
    <w:p w14:paraId="2496B44F" w14:textId="610D01E1" w:rsidR="00F631B6" w:rsidRDefault="00F631B6" w:rsidP="00F631B6">
      <w:pPr>
        <w:spacing w:after="60"/>
        <w:ind w:left="280"/>
        <w:rPr>
          <w:rFonts w:cs="Segoe UI"/>
        </w:rPr>
      </w:pPr>
      <w:r>
        <w:rPr>
          <w:rFonts w:cs="Segoe UI"/>
          <w:color w:val="0F2544"/>
        </w:rPr>
        <w:t xml:space="preserve">▪  </w:t>
      </w:r>
      <w:r>
        <w:rPr>
          <w:rFonts w:cs="Segoe UI"/>
        </w:rPr>
        <w:t>Web: www.sqlchangeguard.com</w:t>
      </w:r>
    </w:p>
    <w:p w14:paraId="73B110F7" w14:textId="65E2DDBE" w:rsidR="00F631B6" w:rsidRDefault="00F631B6" w:rsidP="00F631B6">
      <w:pPr>
        <w:spacing w:after="60"/>
        <w:ind w:left="280"/>
        <w:rPr>
          <w:rFonts w:cs="Segoe UI"/>
        </w:rPr>
      </w:pPr>
      <w:r>
        <w:rPr>
          <w:rFonts w:cs="Segoe UI"/>
          <w:color w:val="0F2544"/>
        </w:rPr>
        <w:t xml:space="preserve">▪  </w:t>
      </w:r>
      <w:r>
        <w:rPr>
          <w:rFonts w:cs="Segoe UI"/>
        </w:rPr>
        <w:t>Email: onur.egilmez@sqlchangeguard.com  |  info@sqlchangeguard.com</w:t>
      </w:r>
    </w:p>
    <w:p w14:paraId="7FFD8165" w14:textId="05E60F83" w:rsidR="00F631B6" w:rsidRDefault="00F631B6" w:rsidP="00F631B6">
      <w:pPr>
        <w:spacing w:after="60"/>
        <w:ind w:left="280"/>
        <w:rPr>
          <w:rFonts w:cs="Segoe UI"/>
        </w:rPr>
      </w:pPr>
      <w:r>
        <w:rPr>
          <w:rFonts w:cs="Segoe UI"/>
          <w:color w:val="0F2544"/>
        </w:rPr>
        <w:t xml:space="preserve">▪  </w:t>
      </w:r>
      <w:r>
        <w:rPr>
          <w:rFonts w:cs="Segoe UI"/>
        </w:rPr>
        <w:t>Phone: +90 505 621 29 02</w:t>
      </w:r>
    </w:p>
    <w:p w14:paraId="6ED05DF5" w14:textId="13518874" w:rsidR="00F631B6" w:rsidRDefault="00F631B6" w:rsidP="00F631B6">
      <w:pPr>
        <w:spacing w:after="60"/>
        <w:ind w:left="280"/>
        <w:rPr>
          <w:rFonts w:cs="Segoe UI"/>
        </w:rPr>
      </w:pPr>
      <w:r>
        <w:rPr>
          <w:rFonts w:cs="Segoe UI"/>
          <w:color w:val="0F2544"/>
        </w:rPr>
        <w:t xml:space="preserve">▪  </w:t>
      </w:r>
      <w:r>
        <w:rPr>
          <w:rFonts w:cs="Segoe UI"/>
        </w:rPr>
        <w:t>LinkedIn: linkedin.com/company/sqlchangeguard</w:t>
      </w:r>
    </w:p>
    <w:p w14:paraId="42E36DD1" w14:textId="77777777" w:rsidR="00F631B6" w:rsidRDefault="00F631B6" w:rsidP="00F631B6">
      <w:pPr>
        <w:spacing w:after="60"/>
        <w:rPr>
          <w:rFonts w:cs="Segoe UI"/>
        </w:rPr>
      </w:pPr>
    </w:p>
    <w:p w14:paraId="2D2C5DA5" w14:textId="77777777" w:rsidR="00C652B5" w:rsidRDefault="00C652B5" w:rsidP="00C652B5">
      <w:pPr>
        <w:pStyle w:val="Heading1"/>
      </w:pPr>
      <w:r>
        <w:lastRenderedPageBreak/>
        <w:t>Sensitive Data Masking: Validated Detection and Server Level Regime</w:t>
      </w:r>
    </w:p>
    <w:p w14:paraId="271B7697" w14:textId="77777777" w:rsidR="00C652B5" w:rsidRDefault="00C652B5" w:rsidP="00C652B5">
      <w:r>
        <w:t>Masking works through two independent mechanisms that cover each other's blind spots.</w:t>
      </w:r>
    </w:p>
    <w:p w14:paraId="06B5345A" w14:textId="77777777" w:rsidR="00C652B5" w:rsidRDefault="00C652B5" w:rsidP="00C652B5">
      <w:r>
        <w:t>The first is the classification catalog. It looks at the column name and never at the data. For example, every column whose name contains TCKN is masked. This mechanism also covers numeric columns, which is the only protection in systems that keep identity numbers as numbers. Every rule carries a label shown to the auditor, such as identity, contact, health, education or payment card. A ready made starter set covering finance, retail, healthcare and education is installed with the product.</w:t>
      </w:r>
    </w:p>
    <w:p w14:paraId="0A958920" w14:textId="54A337C2" w:rsidR="00C652B5" w:rsidRDefault="00E6572F" w:rsidP="00C652B5">
      <w:r>
        <w:t>The second is data patterns. These ignore the column name and inspect cell contents. The important part is that a pattern can be bound to a validation algorithm: a checksum for the national identity number, Luhn for card numbers, mod-97 for IBANs. As a result an eleven digit order number is largely kept from being masked for nothing, while a real identity number is masked. This reduces unnecessary unmasked data requests.</w:t>
      </w:r>
    </w:p>
    <w:p w14:paraId="5C1D7613" w14:textId="04BE7E82" w:rsidR="00C652B5" w:rsidRDefault="00C652B5" w:rsidP="00C652B5">
      <w:r>
        <w:t xml:space="preserve">Column preview. While a request is being saved, the system connects to the target server and asks which columns the query returns. The query is not executed and no row is read. This lets the requester and the approver see which columns will be masked before delivery. Even when the query uses an alias, </w:t>
      </w:r>
      <w:r w:rsidR="00C37AE2">
        <w:t>the source column is identified; giving an alias does not bypass masking based on the column name.</w:t>
      </w:r>
    </w:p>
    <w:p w14:paraId="694A7FC5" w14:textId="5629307E" w:rsidR="00C652B5" w:rsidRDefault="00E6572F" w:rsidP="00C652B5">
      <w:r>
        <w:t>Server level regime. Because masking is a property of the data, the setting lives on the server definition. There are two regimes: full masking and content only. The content only regime is intended for environments that hold synthetic data. It does not mask columns by name, but if real data is loaded onto that server the validated patterns take effect and masking returns automatically for fields a pattern recognises; fields without a pattern (such as names or addresses) stay open in this regime. This regime cannot be selected without a written reason, and a change is written to the audit trail as a separate event. When a request targets several servers the decisions are made per server: the result from a production server can be masked while the result from a server holding synthetic data stays open.</w:t>
      </w:r>
    </w:p>
    <w:p w14:paraId="46B57EC4" w14:textId="77777777" w:rsidR="00C652B5" w:rsidRDefault="00C652B5" w:rsidP="00C652B5">
      <w:r>
        <w:t>Evidence. For every delivery the system records, column by column, why a column was masked: classification catalog, data pattern, approved unmasked request or detection time budget exceeded. The record is per server, and the regime and exemption reason are frozen at delivery time, so the evidence stays intact even if the server definition is changed later. Masking can be switched off with an organisation wide parameter, but even then every delivery is recorded and marked with a red verdict in the evidence dossier.</w:t>
      </w:r>
    </w:p>
    <w:p w14:paraId="2778D4C7" w14:textId="41E5803B" w:rsidR="00C652B5" w:rsidRDefault="00C652B5" w:rsidP="00C652B5">
      <w:r>
        <w:t>Learning loop. Columns caught by a pattern but missing from the catalog collect as candidates; a database administrator turns them into permanent rules or ignores them. The candidate list holds no data values, only column, table and pattern names. This way the classification sharpens over time without anyone looking at production data.</w:t>
      </w:r>
    </w:p>
    <w:p w14:paraId="1A0F50FF" w14:textId="77777777" w:rsidR="00992280" w:rsidRDefault="00992280" w:rsidP="00992280">
      <w:pPr>
        <w:pStyle w:val="Heading1"/>
      </w:pPr>
      <w:r>
        <w:lastRenderedPageBreak/>
        <w:t>Evidence: Which Rules Applied on the Day</w:t>
      </w:r>
    </w:p>
    <w:p w14:paraId="45962815" w14:textId="77777777" w:rsidR="00992280" w:rsidRDefault="00992280" w:rsidP="00992280">
      <w:r>
        <w:t>Rules change over time. A setting may be strict today and have been relaxed six months ago. The question asked during an audit is this: which rules applied to this request on the day it was processed? The system answers that question from a record frozen on that day, not from the current settings.</w:t>
      </w:r>
    </w:p>
    <w:p w14:paraId="0AF25673" w14:textId="77777777" w:rsidR="00992280" w:rsidRDefault="00992280" w:rsidP="00992280">
      <w:r>
        <w:t>Rule set snapshot. Whenever a request is saved, the rule set in force at that moment is written to a single audit record: the identity and control flags of the target servers (rollback requirement, automatic execution, masking regime), the approval and segregation of duties rules, the sensitive data masking settings, the result file access rules, the list of SQL standards that were blocking on that day, and the licensed modules that were open. The record does not change when a rule changes later.</w:t>
      </w:r>
    </w:p>
    <w:p w14:paraId="52B09439" w14:textId="19BC80A7" w:rsidR="00992280" w:rsidRDefault="00992280" w:rsidP="00992280">
      <w:r>
        <w:t xml:space="preserve">Settings at delivery time. A request may be saved on one date and executed on another. Because masking happens at execution time, the threshold, sample size, sampling mode and time budget in force at that moment are frozen into the delivery record as well. </w:t>
      </w:r>
      <w:r w:rsidR="00C37AE2">
        <w:t>This makes it possible to answer, with the settings of that day, why no column was masked in a given delivery.</w:t>
      </w:r>
    </w:p>
    <w:p w14:paraId="6B8B4B9F" w14:textId="77777777" w:rsidR="00992280" w:rsidRDefault="00992280" w:rsidP="00992280">
      <w:r>
        <w:t>Control changes are recorded as separate events. Changing a setting and relaxing a control are not the same thing. Relaxing a masking regime, removing a rollback requirement, enabling automatic execution, disabling a detection pattern, deleting a classification rule, adding an address to the recipient pool, stopping a maintenance task and changing licensed modules are each written under their own event name. Relaxing and tightening receive different names. The audit screen can search by event name, so which control was relaxed, when and by whom is visible in a single list.</w:t>
      </w:r>
    </w:p>
    <w:p w14:paraId="0BA65BEA" w14:textId="0C72C43C" w:rsidR="00992280" w:rsidRDefault="00E6572F" w:rsidP="00992280">
      <w:r>
        <w:t>Two independent record layers. The application audit trail holds events that carry business meaning and is visible on screen. A second layer at the database level uses triggers that work independently of the application, so a change made directly to the database with an administration tool also leaves a trace. This layer is a supporting record: a trigger can be disabled and its rows can be deleted; the main assurance is the ledger table and the comparison with the external ledger digest. The two layers do not replace each other, one completes the other.</w:t>
      </w:r>
    </w:p>
    <w:p w14:paraId="52C654F7" w14:textId="77777777" w:rsidR="00992280" w:rsidRDefault="00992280" w:rsidP="00992280">
      <w:r>
        <w:t>Visible in the evidence dossier. The request level evidence dossier lists the rule set in force on the day the request was processed in its own readable section. An auditor sees both what happened and under which rules it happened in a single document.</w:t>
      </w:r>
    </w:p>
    <w:p w14:paraId="253A287B" w14:textId="77CCFB17" w:rsidR="00992280" w:rsidRDefault="00992280" w:rsidP="00992280">
      <w:r>
        <w:t>Release package scope. Release packages carry change requests only. Query result requests cannot be part of a package; a result file is only delivered through its own flow, which applies sensitive data masking and writes the audit record. This rule is enforced on the server side as well, independently of the user interface.</w:t>
      </w:r>
    </w:p>
    <w:p w14:paraId="4EA9354E" w14:textId="77777777" w:rsidR="00F70F9D" w:rsidRDefault="00F70F9D" w:rsidP="00F70F9D">
      <w:pPr>
        <w:pStyle w:val="Heading1"/>
      </w:pPr>
      <w:r>
        <w:t>Four Eyes Principle for Settings Changes</w:t>
      </w:r>
    </w:p>
    <w:p w14:paraId="766FAA63" w14:textId="77777777" w:rsidR="00F70F9D" w:rsidRDefault="00F70F9D" w:rsidP="00F70F9D">
      <w:r>
        <w:t>A settings change that weakens a control should not be made by a single person. The system can put settings screen changes behind approval: the change is not applied immediately, it waits for approval, and the previous value stays in effect until it is approved.</w:t>
      </w:r>
    </w:p>
    <w:p w14:paraId="4EFA074F" w14:textId="77777777" w:rsidR="00F70F9D" w:rsidRDefault="00F70F9D" w:rsidP="00F70F9D">
      <w:r>
        <w:t>How it works. A pending change is held in a separate record; the real settings table is not touched until approval is given. As a result the rest of the system keeps reading the previous value and a half applied setting never occurs. On approval the change is applied through the very same path as if the user had saved it, so the licence limit, validation and concurrency checks all run again at that moment.</w:t>
      </w:r>
    </w:p>
    <w:p w14:paraId="75C8F2F9" w14:textId="77777777" w:rsidR="00F70F9D" w:rsidRDefault="00F70F9D" w:rsidP="00F70F9D">
      <w:r>
        <w:t>Approval authority. A settings change is approved by another user who holds the permission of that screen. No separate approver role is defined; the permissions already exist in the role definition. Nobody can approve or reject a change they requested themselves, and this rule is not optional. The approval list is filtered by permission: a person only sees approvals for the screens they are authorised for.</w:t>
      </w:r>
    </w:p>
    <w:p w14:paraId="52B5EFA6" w14:textId="3F549901" w:rsidR="00F70F9D" w:rsidRDefault="00F70F9D" w:rsidP="00F70F9D">
      <w:r>
        <w:t xml:space="preserve">Scope. The feature is governed by one organisation wide parameter with three options: disabled, control settings only, all settings. The default is disabled. Under control settings only, </w:t>
      </w:r>
      <w:r w:rsidR="004E02AE">
        <w:t>server definitions, user records, the role permission matrix, approval policies, SQL standards, the critical object list, the sensitive column catalog, sensitive data patterns, approved recipient addresses, maintenance jobs</w:t>
      </w:r>
      <w:r w:rsidR="008E0CD4">
        <w:t xml:space="preserve"> and control parameters such as masking, approval and segregation of duties wait for approval</w:t>
      </w:r>
      <w:r>
        <w:t xml:space="preserve">, while operational settings do not slow the flow down. </w:t>
      </w:r>
      <w:r w:rsidR="008E0CD4">
        <w:t>The feature itself is a control: turning it on is applied immediately, turning it off requires approval. Password reset and user unlock are deliberately out of scope: they are help desk actions and are written to the audit record.</w:t>
      </w:r>
    </w:p>
    <w:p w14:paraId="4EA3AA12" w14:textId="77777777" w:rsidR="00F70F9D" w:rsidRDefault="00F70F9D" w:rsidP="00F70F9D">
      <w:r>
        <w:t>On screen. A record with a pending change is marked on its settings screen and cannot be edited again; a notice at the top of the screen shows how many changes are waiting. After saving, the user is told clearly that the change was not applied but sent for approval. A separate approval screen shows the previous and the requested value side by side and highlights the fields that differ.</w:t>
      </w:r>
    </w:p>
    <w:p w14:paraId="3102B1B2" w14:textId="77777777" w:rsidR="00F70F9D" w:rsidRDefault="00F70F9D" w:rsidP="00F70F9D">
      <w:r>
        <w:t>Records. Requesting, approving, rejecting and failing to apply an approved change are written as separate audit events. At approval the change also produces its own audit record, so who approved it and what the value became can be traced separately. Rejection requires a reason.</w:t>
      </w:r>
    </w:p>
    <w:p w14:paraId="0302D332" w14:textId="58EE1E4A" w:rsidR="00F70F9D" w:rsidRDefault="00F70F9D" w:rsidP="00F70F9D">
      <w:r>
        <w:t>Deployment note. Because nobody can approve their own request, at least two users must hold each screen permission in scope. In practice this comes down to a single requirement: at least two system manager users must be defined.</w:t>
      </w:r>
    </w:p>
    <w:p w14:paraId="26BA3ED6" w14:textId="77777777" w:rsidR="00F50174" w:rsidRDefault="00F50174" w:rsidP="00F50174">
      <w:pPr>
        <w:pStyle w:val="Heading1"/>
      </w:pPr>
      <w:r>
        <w:t>The Auditor Role</w:t>
      </w:r>
    </w:p>
    <w:p w14:paraId="4B664032" w14:textId="77777777" w:rsidR="00F50174" w:rsidRDefault="00F50174" w:rsidP="00F50174">
      <w:r>
        <w:t>What audit teams usually need is one thing: to see. Who did what, which approval it passed, which data went to whom. None of that requires administrator rights. SQL Change Guard answers this need with a dedicated role.</w:t>
      </w:r>
    </w:p>
    <w:p w14:paraId="4555B1D3" w14:textId="77777777" w:rsidR="00F50174" w:rsidRDefault="00F50174" w:rsidP="00F50174">
      <w:r>
        <w:t>What the auditor can do. See every request, review audit records, use reports and the dashboard, produce and download the evidence dossier for a request, verify the integrity of the audit trail and view notification logs.</w:t>
      </w:r>
    </w:p>
    <w:p w14:paraId="3BC5619F" w14:textId="74530789" w:rsidR="00F50174" w:rsidRDefault="00F50174" w:rsidP="00F50174">
      <w:r>
        <w:t xml:space="preserve">What the auditor cannot do. Raise a request, approve, execute, use the sandbox, manage any settings screen, </w:t>
      </w:r>
      <w:r w:rsidR="00C37AE2">
        <w:t>or, in the default setting, download a query result file (the minimum role for downloads is an organisation parameter, ChangeManager by default).</w:t>
      </w:r>
    </w:p>
    <w:p w14:paraId="2D6446CC" w14:textId="77777777" w:rsidR="00F50174" w:rsidRDefault="00F50174" w:rsidP="00F50174">
      <w:r>
        <w:t>The last item is deliberate. Query result data never enters the evidence package, so the auditor reaches the evidence without reaching production data. Auditing does not require seeing personal data, so this boundary does not weaken the audit; it narrows the organization data surface.</w:t>
      </w:r>
    </w:p>
    <w:p w14:paraId="2272839E" w14:textId="77777777" w:rsidR="00F50174" w:rsidRDefault="00F50174" w:rsidP="00F50174">
      <w:r>
        <w:t>There is no adding or deleting evidence. The evidence dossier is produced from the request itself and no editable evidence store exists. If an auditor could add or delete evidence, the evidence would stop being evidence.</w:t>
      </w:r>
    </w:p>
    <w:p w14:paraId="54DBAD6E" w14:textId="77777777" w:rsidR="00F50174" w:rsidRDefault="00F50174" w:rsidP="00F50174">
      <w:r>
        <w:t>Segregation of duties. The auditor cannot be selected as an approver in a policy step, and the auditor role cannot be granted approve or execute permissions. Someone who audits must not become someone who approves, so this rule is not optional.</w:t>
      </w:r>
    </w:p>
    <w:p w14:paraId="1D6396C0" w14:textId="32F2B125" w:rsidR="00F50174" w:rsidRDefault="00F50174" w:rsidP="00F50174">
      <w:r>
        <w:t>Deployment note. The product ships with a single administrator account and no ready made auditor account. Each organization defines its own auditor, so no installation carries an audit account with a known password.</w:t>
      </w:r>
    </w:p>
    <w:p w14:paraId="5135FD65" w14:textId="77777777" w:rsidR="004238BD" w:rsidRDefault="004238BD" w:rsidP="004238BD">
      <w:pPr>
        <w:pStyle w:val="Heading1"/>
      </w:pPr>
      <w:r>
        <w:t>What the Rule Engine Catches and What It Does Not</w:t>
      </w:r>
    </w:p>
    <w:p w14:paraId="00F90071" w14:textId="46531054" w:rsidR="004238BD" w:rsidRDefault="00E6572F" w:rsidP="004238BD">
      <w:r>
        <w:t>The rule engine parses the script with a real grammar and works on sentence structure. That is why it catches cases readable from the script itself, such as an UPDATE without a filter, a DROP on a critical object, or a naming convention. On Oracle, if tree parsing fails, the engine falls back to a more limited regular expression analysis.</w:t>
      </w:r>
    </w:p>
    <w:p w14:paraId="6C114F27" w14:textId="77777777" w:rsidR="004238BD" w:rsidRDefault="004238BD" w:rsidP="004238BD">
      <w:r>
        <w:t>Whether a query uses an indexed column, however, cannot be read from the script; it requires looking at the target database catalogue. That check is not in the scope of the rule engine today and belongs to database monitoring tools.</w:t>
      </w:r>
    </w:p>
    <w:p w14:paraId="12E57686" w14:textId="77777777" w:rsidR="004238BD" w:rsidRDefault="004238BD" w:rsidP="004238BD">
      <w:r>
        <w:t>This boundary is deliberate. The engine checks what it can answer with certainty from the script. Producing warnings in an area where certainty is impossible fills the screen with unreliable warnings, and over time people stop reading all of them.</w:t>
      </w:r>
    </w:p>
    <w:p w14:paraId="1C85B79C" w14:textId="77777777" w:rsidR="004238BD" w:rsidRDefault="004238BD" w:rsidP="004238BD">
      <w:pPr>
        <w:pStyle w:val="Heading1"/>
      </w:pPr>
      <w:r>
        <w:t>How Do I See That a Step Was Skipped</w:t>
      </w:r>
    </w:p>
    <w:p w14:paraId="56C0F52C" w14:textId="77777777" w:rsidR="004238BD" w:rsidRDefault="004238BD" w:rsidP="004238BD">
      <w:r>
        <w:t>In the request list and on the request detail page, steps that should have been done but were not appear as a red badge. Hovering over the badge lists each gap. This is not information you have to go looking for; it is visible the moment you look at the list.</w:t>
      </w:r>
    </w:p>
    <w:p w14:paraId="01F06D8D" w14:textId="77777777" w:rsidR="004238BD" w:rsidRDefault="004238BD" w:rsidP="004238BD">
      <w:r>
        <w:t>The badge covers these cases: the server requires a rollback plan but there is none; a rollback plan exists but its script is incomplete; automatic rollback generation failed; a sandbox trial is required but was never run; the last trial failed; the trial passed but the script changed afterwards.</w:t>
      </w:r>
    </w:p>
    <w:p w14:paraId="6266C15F" w14:textId="77777777" w:rsidR="004238BD" w:rsidRDefault="004238BD" w:rsidP="004238BD">
      <w:r>
        <w:t>The badge appears only for live requests. Closed requests (executed, rejected, marked manual, cancelled) are not flagged: the rules in force on the day a request closed may differ from today's, and retrospective blame would be misleading.</w:t>
      </w:r>
    </w:p>
    <w:p w14:paraId="1882284F" w14:textId="77777777" w:rsidR="004238BD" w:rsidRDefault="004238BD" w:rsidP="004238BD">
      <w:pPr>
        <w:pStyle w:val="Heading1"/>
      </w:pPr>
      <w:r>
        <w:t>Are Emergency Changes Reviewed Afterwards</w:t>
      </w:r>
    </w:p>
    <w:p w14:paraId="6A016971" w14:textId="77777777" w:rsidR="004238BD" w:rsidRDefault="004238BD" w:rsidP="004238BD">
      <w:r>
        <w:t>Yes. The emergency path shortens approval, it does not skip it. In addition, every executed emergency change carries a post-incident review record. A user with approval permission answers two questions (was the change genuinely urgent, was a follow-up request raised) and writes a mandatory note.</w:t>
      </w:r>
    </w:p>
    <w:p w14:paraId="51B56305" w14:textId="77777777" w:rsidR="004238BD" w:rsidRDefault="004238BD" w:rsidP="004238BD">
      <w:r>
        <w:t>The review is not an approval and carries no sanction. The purpose is not punishment but making the pattern visible: emergency changes coming from the same team every month point to a planning problem, not a process one.</w:t>
      </w:r>
    </w:p>
    <w:p w14:paraId="6A588C5F" w14:textId="27DEB673" w:rsidR="004238BD" w:rsidRDefault="00B106A4" w:rsidP="00B56942">
      <w:r>
        <w:t>Nobody can review an emergency request they raised themselves. The dashboard shows an unreviewed emergency change counter, and the Emergency Change Review report lists pending items with how many days they have been waiting.</w:t>
      </w:r>
    </w:p>
    <w:p w14:paraId="6ED5B84D" w14:textId="180C6759" w:rsidR="00B106A4" w:rsidRDefault="00B106A4" w:rsidP="00B106A4">
      <w:pPr>
        <w:pStyle w:val="Heading1"/>
      </w:pPr>
      <w:r>
        <w:t>Can the Database Administrator Change the Audit Records</w:t>
      </w:r>
    </w:p>
    <w:p w14:paraId="35883374" w14:textId="581120DF" w:rsidR="00332ADA" w:rsidRDefault="00C37AE2" w:rsidP="00332ADA">
      <w:r>
        <w:t>Not in place. Audit records are kept in the append-only ledger table that comes with SQL Server 2022. The database engine rejects changing or deleting records for everyone, sysadmin included. Dropping and recreating the table is not prevented, but it leaves a trace in the engine's own history and the product catches it.</w:t>
      </w:r>
    </w:p>
    <w:p w14:paraId="16BF100F" w14:textId="4B722472" w:rsidR="00332ADA" w:rsidRDefault="00E6572F" w:rsidP="00332ADA">
      <w:r>
        <w:t xml:space="preserve">Editing the database file directly or returning to an old backup is noticed through an external witness: </w:t>
      </w:r>
      <w:r w:rsidR="00C37AE2">
        <w:t>by default once an hour the API writes the ledger digest of the database (signed when signing is on) as a file to the configured folder.</w:t>
      </w:r>
      <w:r>
        <w:t xml:space="preserve"> Keeping this folder in an immutable store (such as WORM) is the responsibility of the organisation. With these digests the auditor runs a verification on a copy of the database; if the records do not match the digests, the verification fails.</w:t>
      </w:r>
    </w:p>
    <w:p w14:paraId="3B8E38B8" w14:textId="2A42E5C3" w:rsidR="00332ADA" w:rsidRDefault="00332ADA" w:rsidP="00332ADA">
      <w:r>
        <w:t>The product also checks the write path: adding a trigger to the evidence table, changing the write procedure or adding an object to the evidence schema is noticed and change operations stop until the boundary is restored. This is why the product requires SQL Server 2022 or later.</w:t>
      </w:r>
    </w:p>
    <w:p w14:paraId="04C419A4" w14:textId="47AC551B" w:rsidR="00332ADA" w:rsidRDefault="00332ADA" w:rsidP="00332ADA">
      <w:pPr>
        <w:pStyle w:val="Heading1"/>
      </w:pPr>
      <w:r>
        <w:t>How Does the Auditor Know They Saw Every Request of a Period</w:t>
      </w:r>
    </w:p>
    <w:p w14:paraId="218D6019" w14:textId="4E4C4A36" w:rsidR="00332ADA" w:rsidRDefault="00332ADA" w:rsidP="00332ADA">
      <w:r>
        <w:t>With the period package. The Period Package button on the Audit Log screen produces a signed package for the selected period. The package collects every request of the period from two separate sources, the request table and the audit trail, and reconciles them row by row; every row that does not match is marked clearly. The package also contains the ledger digests of the period, the gaps between them, evidence write boundary events, database restores and the export log. How to verify the package and the digests is in the Auditor Kit document.</w:t>
      </w:r>
    </w:p>
    <w:p w14:paraId="5E20026F" w14:textId="77777777" w:rsidR="00332ADA" w:rsidRDefault="00332ADA" w:rsidP="004238BD"/>
    <w:sectPr w:rsidR="00332ADA" w:rsidSect="00F631B6">
      <w:headerReference w:type="even" r:id="rId6"/>
      <w:headerReference w:type="default" r:id="rId7"/>
      <w:footerReference w:type="even" r:id="rId8"/>
      <w:footerReference w:type="default" r:id="rId9"/>
      <w:headerReference w:type="first" r:id="rId10"/>
      <w:footerReference w:type="first" r:id="rId11"/>
      <w:pgSz w:w="12240" w:h="15840"/>
      <w:pgMar w:top="1200" w:right="1280" w:bottom="1200" w:left="12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B933D" w14:textId="77777777" w:rsidR="005B1852" w:rsidRDefault="005B1852" w:rsidP="00F631B6">
      <w:pPr>
        <w:spacing w:after="0"/>
      </w:pPr>
      <w:r>
        <w:separator/>
      </w:r>
    </w:p>
  </w:endnote>
  <w:endnote w:type="continuationSeparator" w:id="0">
    <w:p w14:paraId="28F7B032" w14:textId="77777777" w:rsidR="005B1852" w:rsidRDefault="005B1852" w:rsidP="00F631B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Semibold">
    <w:panose1 w:val="020B07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9D1CE" w14:textId="77777777" w:rsidR="00F631B6" w:rsidRDefault="00F631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DCB74" w14:textId="3DD384A6" w:rsidR="00F631B6" w:rsidRPr="00F631B6" w:rsidRDefault="00F631B6" w:rsidP="00F631B6">
    <w:pPr>
      <w:pStyle w:val="Footer"/>
      <w:jc w:val="center"/>
      <w:rPr>
        <w:rFonts w:cs="Segoe UI"/>
        <w:color w:val="5A697D"/>
        <w:sz w:val="16"/>
      </w:rPr>
    </w:pPr>
    <w:r>
      <w:rPr>
        <w:rFonts w:cs="Segoe UI"/>
        <w:color w:val="5A697D"/>
        <w:sz w:val="16"/>
      </w:rPr>
      <w:t>SQL Change Guard  |  Database Operations Governance Platform  |  sqlchangeguard.com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7EE74" w14:textId="77777777" w:rsidR="00F631B6" w:rsidRDefault="00F631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D336F" w14:textId="77777777" w:rsidR="005B1852" w:rsidRDefault="005B1852" w:rsidP="00F631B6">
      <w:pPr>
        <w:spacing w:after="0"/>
      </w:pPr>
      <w:r>
        <w:separator/>
      </w:r>
    </w:p>
  </w:footnote>
  <w:footnote w:type="continuationSeparator" w:id="0">
    <w:p w14:paraId="2A45E1F9" w14:textId="77777777" w:rsidR="005B1852" w:rsidRDefault="005B1852" w:rsidP="00F631B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C6E09" w14:textId="77777777" w:rsidR="00F631B6" w:rsidRDefault="00F631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2C66" w14:textId="77777777" w:rsidR="00F631B6" w:rsidRDefault="00F631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F42E" w14:textId="77777777" w:rsidR="00F631B6" w:rsidRDefault="00F631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1B6"/>
    <w:rsid w:val="000279E4"/>
    <w:rsid w:val="000B04D9"/>
    <w:rsid w:val="001642BC"/>
    <w:rsid w:val="00241E73"/>
    <w:rsid w:val="00295CE0"/>
    <w:rsid w:val="002E56DA"/>
    <w:rsid w:val="002F00D9"/>
    <w:rsid w:val="00332ADA"/>
    <w:rsid w:val="00367AD4"/>
    <w:rsid w:val="00387FC5"/>
    <w:rsid w:val="003A22D9"/>
    <w:rsid w:val="003D4FD6"/>
    <w:rsid w:val="00414403"/>
    <w:rsid w:val="0041488B"/>
    <w:rsid w:val="004238BD"/>
    <w:rsid w:val="0043404A"/>
    <w:rsid w:val="00444AD5"/>
    <w:rsid w:val="00485479"/>
    <w:rsid w:val="004D1197"/>
    <w:rsid w:val="004E02AE"/>
    <w:rsid w:val="00511DDA"/>
    <w:rsid w:val="0052313B"/>
    <w:rsid w:val="005533AB"/>
    <w:rsid w:val="00590F65"/>
    <w:rsid w:val="005B1852"/>
    <w:rsid w:val="005C53DA"/>
    <w:rsid w:val="005D739B"/>
    <w:rsid w:val="00607546"/>
    <w:rsid w:val="00610177"/>
    <w:rsid w:val="006B4AE3"/>
    <w:rsid w:val="006C2B04"/>
    <w:rsid w:val="006F2242"/>
    <w:rsid w:val="006F7F75"/>
    <w:rsid w:val="00700F45"/>
    <w:rsid w:val="007D35A3"/>
    <w:rsid w:val="007D3F66"/>
    <w:rsid w:val="007F0E99"/>
    <w:rsid w:val="00822441"/>
    <w:rsid w:val="008B7304"/>
    <w:rsid w:val="008B7660"/>
    <w:rsid w:val="008E0CD4"/>
    <w:rsid w:val="0090081F"/>
    <w:rsid w:val="00922F50"/>
    <w:rsid w:val="00927849"/>
    <w:rsid w:val="00932506"/>
    <w:rsid w:val="00992280"/>
    <w:rsid w:val="00996866"/>
    <w:rsid w:val="009C7C79"/>
    <w:rsid w:val="00B106A4"/>
    <w:rsid w:val="00B46104"/>
    <w:rsid w:val="00B56942"/>
    <w:rsid w:val="00B72987"/>
    <w:rsid w:val="00BA57F3"/>
    <w:rsid w:val="00BF2016"/>
    <w:rsid w:val="00C37AE2"/>
    <w:rsid w:val="00C51E54"/>
    <w:rsid w:val="00C652B5"/>
    <w:rsid w:val="00C75943"/>
    <w:rsid w:val="00C811BB"/>
    <w:rsid w:val="00CB157C"/>
    <w:rsid w:val="00DB2E06"/>
    <w:rsid w:val="00DF2020"/>
    <w:rsid w:val="00E519A1"/>
    <w:rsid w:val="00E6572F"/>
    <w:rsid w:val="00EB3CC4"/>
    <w:rsid w:val="00F50174"/>
    <w:rsid w:val="00F631B6"/>
    <w:rsid w:val="00F6645D"/>
    <w:rsid w:val="00F70E56"/>
    <w:rsid w:val="00F70F9D"/>
    <w:rsid w:val="00F91E75"/>
    <w:rsid w:val="00F93F7A"/>
    <w:rsid w:val="00FB0FC3"/>
    <w:rsid w:val="00FE2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9035D"/>
  <w15:chartTrackingRefBased/>
  <w15:docId w15:val="{CAB8B04B-9DFD-478E-9A42-907899E1B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Segoe UI" w:hAnsi="Segoe UI"/>
      <w:color w:val="1E293B"/>
      <w:sz w:val="22"/>
    </w:rPr>
  </w:style>
  <w:style w:type="paragraph" w:styleId="Heading1">
    <w:name w:val="heading 1"/>
    <w:basedOn w:val="Normal"/>
    <w:next w:val="Normal"/>
    <w:link w:val="Heading1Char"/>
    <w:uiPriority w:val="9"/>
    <w:qFormat/>
    <w:rsid w:val="00F631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631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631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31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631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631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31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31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31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1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631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31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31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31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31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1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1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1B6"/>
    <w:rPr>
      <w:rFonts w:eastAsiaTheme="majorEastAsia" w:cstheme="majorBidi"/>
      <w:color w:val="272727" w:themeColor="text1" w:themeTint="D8"/>
    </w:rPr>
  </w:style>
  <w:style w:type="paragraph" w:styleId="Title">
    <w:name w:val="Title"/>
    <w:basedOn w:val="Normal"/>
    <w:next w:val="Normal"/>
    <w:link w:val="TitleChar"/>
    <w:uiPriority w:val="10"/>
    <w:qFormat/>
    <w:rsid w:val="00F631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1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1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1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1B6"/>
    <w:pPr>
      <w:spacing w:before="160"/>
      <w:jc w:val="center"/>
    </w:pPr>
    <w:rPr>
      <w:i/>
      <w:iCs/>
      <w:color w:val="404040" w:themeColor="text1" w:themeTint="BF"/>
    </w:rPr>
  </w:style>
  <w:style w:type="character" w:customStyle="1" w:styleId="QuoteChar">
    <w:name w:val="Quote Char"/>
    <w:basedOn w:val="DefaultParagraphFont"/>
    <w:link w:val="Quote"/>
    <w:uiPriority w:val="29"/>
    <w:rsid w:val="00F631B6"/>
    <w:rPr>
      <w:i/>
      <w:iCs/>
      <w:color w:val="404040" w:themeColor="text1" w:themeTint="BF"/>
    </w:rPr>
  </w:style>
  <w:style w:type="paragraph" w:styleId="ListParagraph">
    <w:name w:val="List Paragraph"/>
    <w:basedOn w:val="Normal"/>
    <w:uiPriority w:val="34"/>
    <w:qFormat/>
    <w:rsid w:val="00F631B6"/>
    <w:pPr>
      <w:ind w:left="720"/>
      <w:contextualSpacing/>
    </w:pPr>
  </w:style>
  <w:style w:type="character" w:styleId="IntenseEmphasis">
    <w:name w:val="Intense Emphasis"/>
    <w:basedOn w:val="DefaultParagraphFont"/>
    <w:uiPriority w:val="21"/>
    <w:qFormat/>
    <w:rsid w:val="00F631B6"/>
    <w:rPr>
      <w:i/>
      <w:iCs/>
      <w:color w:val="2F5496" w:themeColor="accent1" w:themeShade="BF"/>
    </w:rPr>
  </w:style>
  <w:style w:type="paragraph" w:styleId="IntenseQuote">
    <w:name w:val="Intense Quote"/>
    <w:basedOn w:val="Normal"/>
    <w:next w:val="Normal"/>
    <w:link w:val="IntenseQuoteChar"/>
    <w:uiPriority w:val="30"/>
    <w:qFormat/>
    <w:rsid w:val="00F631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31B6"/>
    <w:rPr>
      <w:i/>
      <w:iCs/>
      <w:color w:val="2F5496" w:themeColor="accent1" w:themeShade="BF"/>
    </w:rPr>
  </w:style>
  <w:style w:type="character" w:styleId="IntenseReference">
    <w:name w:val="Intense Reference"/>
    <w:basedOn w:val="DefaultParagraphFont"/>
    <w:uiPriority w:val="32"/>
    <w:qFormat/>
    <w:rsid w:val="00F631B6"/>
    <w:rPr>
      <w:b/>
      <w:bCs/>
      <w:smallCaps/>
      <w:color w:val="2F5496" w:themeColor="accent1" w:themeShade="BF"/>
      <w:spacing w:val="5"/>
    </w:rPr>
  </w:style>
  <w:style w:type="paragraph" w:styleId="Header">
    <w:name w:val="header"/>
    <w:basedOn w:val="Normal"/>
    <w:link w:val="HeaderChar"/>
    <w:uiPriority w:val="99"/>
    <w:unhideWhenUsed/>
    <w:rsid w:val="00F631B6"/>
    <w:pPr>
      <w:tabs>
        <w:tab w:val="center" w:pos="4703"/>
        <w:tab w:val="right" w:pos="9406"/>
      </w:tabs>
      <w:spacing w:after="0"/>
    </w:pPr>
  </w:style>
  <w:style w:type="character" w:customStyle="1" w:styleId="HeaderChar">
    <w:name w:val="Header Char"/>
    <w:basedOn w:val="DefaultParagraphFont"/>
    <w:link w:val="Header"/>
    <w:uiPriority w:val="99"/>
    <w:rsid w:val="00F631B6"/>
    <w:rPr>
      <w:rFonts w:ascii="Segoe UI" w:hAnsi="Segoe UI"/>
      <w:color w:val="1E293B"/>
      <w:sz w:val="22"/>
    </w:rPr>
  </w:style>
  <w:style w:type="paragraph" w:styleId="Footer">
    <w:name w:val="footer"/>
    <w:basedOn w:val="Normal"/>
    <w:link w:val="FooterChar"/>
    <w:uiPriority w:val="99"/>
    <w:unhideWhenUsed/>
    <w:rsid w:val="00F631B6"/>
    <w:pPr>
      <w:tabs>
        <w:tab w:val="center" w:pos="4703"/>
        <w:tab w:val="right" w:pos="9406"/>
      </w:tabs>
      <w:spacing w:after="0"/>
    </w:pPr>
  </w:style>
  <w:style w:type="character" w:customStyle="1" w:styleId="FooterChar">
    <w:name w:val="Footer Char"/>
    <w:basedOn w:val="DefaultParagraphFont"/>
    <w:link w:val="Footer"/>
    <w:uiPriority w:val="99"/>
    <w:rsid w:val="00F631B6"/>
    <w:rPr>
      <w:rFonts w:ascii="Segoe UI" w:hAnsi="Segoe UI"/>
      <w:color w:val="1E293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3284</Words>
  <Characters>18725</Characters>
  <Application>Microsoft Office Word</Application>
  <DocSecurity>0</DocSecurity>
  <Lines>156</Lines>
  <Paragraphs>43</Paragraphs>
  <ScaleCrop>false</ScaleCrop>
  <Company/>
  <LinksUpToDate>false</LinksUpToDate>
  <CharactersWithSpaces>21966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eğilmez</dc:creator>
  <cp:keywords/>
  <dc:description/>
  <cp:lastModifiedBy>onur eğilmez</cp:lastModifiedBy>
  <cp:revision>23</cp:revision>
  <dcterms:created xsi:type="dcterms:W3CDTF">2026-07-13T13:11:00Z</dcterms:created>
  <dcterms:modified xsi:type="dcterms:W3CDTF">2026-10-22T06:28:00Z</dcterms:modified>
</cp:coreProperties>
</file>