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22F49" w14:textId="77777777" w:rsidR="007F0E99" w:rsidRDefault="007F0E99"/>
    <w:p w14:paraId="7D77E3A6" w14:textId="77777777" w:rsidR="005B46EB" w:rsidRDefault="005B46EB"/>
    <w:p w14:paraId="7AE35C12" w14:textId="77777777" w:rsidR="005B46EB" w:rsidRDefault="005B46EB"/>
    <w:p w14:paraId="41619DA1" w14:textId="77777777" w:rsidR="005B46EB" w:rsidRDefault="005B46EB"/>
    <w:p w14:paraId="7FC3ED14" w14:textId="1A6B1686" w:rsidR="005B46EB" w:rsidRDefault="005B46EB" w:rsidP="005B46EB">
      <w:pPr>
        <w:jc w:val="center"/>
        <w:rPr>
          <w:rFonts w:ascii="Segoe UI Semibold" w:hAnsi="Segoe UI Semibold"/>
          <w:b/>
          <w:color w:val="0F2544"/>
          <w:sz w:val="68"/>
        </w:rPr>
      </w:pPr>
      <w:r>
        <w:rPr>
          <w:rFonts w:ascii="Segoe UI Semibold" w:hAnsi="Segoe UI Semibold"/>
          <w:b/>
          <w:color w:val="0F2544"/>
          <w:sz w:val="68"/>
        </w:rPr>
        <w:t>SQL Change Guard</w:t>
      </w:r>
    </w:p>
    <w:p w14:paraId="0B5F79CF" w14:textId="68D0BA8F" w:rsidR="005B46EB" w:rsidRDefault="005B46EB" w:rsidP="005B46EB">
      <w:pPr>
        <w:spacing w:after="80"/>
        <w:jc w:val="center"/>
        <w:rPr>
          <w:rFonts w:cs="Segoe UI"/>
          <w:sz w:val="32"/>
        </w:rPr>
      </w:pPr>
      <w:r>
        <w:rPr>
          <w:rFonts w:cs="Segoe UI"/>
          <w:sz w:val="32"/>
        </w:rPr>
        <w:t>Compliance and Data Protection</w:t>
      </w:r>
    </w:p>
    <w:p w14:paraId="3E47C7E6" w14:textId="62CCAADA" w:rsidR="005B46EB" w:rsidRDefault="005B46EB" w:rsidP="005B46EB">
      <w:pPr>
        <w:spacing w:after="80"/>
        <w:jc w:val="center"/>
        <w:rPr>
          <w:rFonts w:ascii="Arial" w:hAnsi="Arial" w:cs="Arial"/>
          <w:color w:val="0F2544"/>
          <w:sz w:val="24"/>
        </w:rPr>
      </w:pPr>
      <w:r>
        <w:rPr>
          <w:rFonts w:ascii="Arial" w:hAnsi="Arial" w:cs="Arial"/>
          <w:color w:val="0F2544"/>
          <w:sz w:val="24"/>
        </w:rPr>
        <w:t>────────────────────────</w:t>
      </w:r>
    </w:p>
    <w:p w14:paraId="4362BE13" w14:textId="3E22A8B5" w:rsidR="005B46EB" w:rsidRDefault="005B46EB" w:rsidP="005B46EB">
      <w:pPr>
        <w:spacing w:before="120" w:after="80"/>
        <w:jc w:val="center"/>
        <w:rPr>
          <w:rFonts w:cs="Segoe UI"/>
          <w:color w:val="5A697D"/>
          <w:sz w:val="24"/>
        </w:rPr>
      </w:pPr>
      <w:r>
        <w:rPr>
          <w:rFonts w:cs="Segoe UI"/>
          <w:color w:val="5A697D"/>
          <w:sz w:val="24"/>
        </w:rPr>
        <w:t>Audit, Evidence and Data Protection</w:t>
      </w:r>
    </w:p>
    <w:p w14:paraId="1E615B74" w14:textId="17FE3BEC" w:rsidR="005B46EB" w:rsidRDefault="005B46EB" w:rsidP="005B46EB">
      <w:pPr>
        <w:spacing w:before="480" w:after="0"/>
        <w:jc w:val="center"/>
        <w:rPr>
          <w:rFonts w:cs="Segoe UI"/>
          <w:color w:val="5A697D"/>
          <w:sz w:val="20"/>
        </w:rPr>
      </w:pPr>
      <w:r>
        <w:rPr>
          <w:rFonts w:cs="Segoe UI"/>
          <w:color w:val="5A697D"/>
          <w:sz w:val="20"/>
        </w:rPr>
        <w:t>KVKK  |  ISO 27001  |  COBIT  |  ITIL</w:t>
      </w:r>
    </w:p>
    <w:p w14:paraId="2CD496ED" w14:textId="72AED1BE" w:rsidR="005B46EB" w:rsidRDefault="005B46EB">
      <w:pPr>
        <w:spacing w:after="160" w:line="278" w:lineRule="auto"/>
        <w:rPr>
          <w:rFonts w:cs="Segoe UI"/>
          <w:color w:val="5A697D"/>
          <w:sz w:val="20"/>
        </w:rPr>
      </w:pPr>
      <w:r>
        <w:rPr>
          <w:rFonts w:cs="Segoe UI"/>
          <w:color w:val="5A697D"/>
          <w:sz w:val="20"/>
        </w:rPr>
        <w:br w:type="page"/>
      </w:r>
    </w:p>
    <w:p w14:paraId="37B16973" w14:textId="2C272B55" w:rsidR="005B46EB" w:rsidRDefault="005B46EB" w:rsidP="005B46EB">
      <w:pPr>
        <w:spacing w:before="280"/>
        <w:rPr>
          <w:rFonts w:ascii="Segoe UI Semibold" w:hAnsi="Segoe UI Semibold" w:cs="Segoe UI"/>
          <w:b/>
          <w:color w:val="0F2544"/>
          <w:sz w:val="40"/>
        </w:rPr>
      </w:pPr>
      <w:r>
        <w:rPr>
          <w:rFonts w:ascii="Segoe UI Semibold" w:hAnsi="Segoe UI Semibold" w:cs="Segoe UI"/>
          <w:b/>
          <w:color w:val="0F2544"/>
          <w:sz w:val="40"/>
        </w:rPr>
        <w:lastRenderedPageBreak/>
        <w:t>1. Approach</w:t>
      </w:r>
    </w:p>
    <w:p w14:paraId="68ADD73B" w14:textId="2A0EB6BC" w:rsidR="005B46EB" w:rsidRDefault="00A252F9" w:rsidP="005B46EB">
      <w:pPr>
        <w:spacing w:after="160"/>
        <w:rPr>
          <w:rFonts w:cs="Segoe UI"/>
          <w:color w:val="5A697D"/>
          <w:sz w:val="25"/>
        </w:rPr>
      </w:pPr>
      <w:r>
        <w:rPr>
          <w:rFonts w:cs="Segoe UI"/>
          <w:color w:val="5A697D"/>
          <w:sz w:val="25"/>
        </w:rPr>
        <w:t>SQL Change Guard turns database changes and production data access into an auditable process. Every request, approval and execution made through the product produces an audit record; these records contribute evidence to regulatory control expectations. The product does not block operations made on the target database outside the product and does not monitor live database traffic.</w:t>
      </w:r>
    </w:p>
    <w:p w14:paraId="3EE65A41" w14:textId="2621525F" w:rsidR="005B46EB" w:rsidRDefault="005B46EB" w:rsidP="005B46EB">
      <w:pPr>
        <w:spacing w:before="280"/>
        <w:rPr>
          <w:rFonts w:ascii="Segoe UI Semibold" w:hAnsi="Segoe UI Semibold" w:cs="Segoe UI"/>
          <w:b/>
          <w:color w:val="0F2544"/>
          <w:sz w:val="40"/>
        </w:rPr>
      </w:pPr>
      <w:r>
        <w:rPr>
          <w:rFonts w:ascii="Segoe UI Semibold" w:hAnsi="Segoe UI Semibold" w:cs="Segoe UI"/>
          <w:b/>
          <w:color w:val="0F2544"/>
          <w:sz w:val="40"/>
        </w:rPr>
        <w:t>2. KVKK and Personal Data Protection</w:t>
      </w:r>
    </w:p>
    <w:p w14:paraId="2D7915F1" w14:textId="47312520" w:rsidR="005B46EB" w:rsidRDefault="005B46EB" w:rsidP="005B46EB">
      <w:pPr>
        <w:spacing w:after="60"/>
        <w:ind w:left="280"/>
        <w:rPr>
          <w:rFonts w:cs="Segoe UI"/>
        </w:rPr>
      </w:pPr>
      <w:r>
        <w:rPr>
          <w:rFonts w:cs="Segoe UI"/>
          <w:color w:val="0F2544"/>
        </w:rPr>
        <w:t xml:space="preserve">▪  </w:t>
      </w:r>
      <w:r>
        <w:rPr>
          <w:rFonts w:cs="Segoe UI"/>
        </w:rPr>
        <w:t xml:space="preserve">Sensitive data detection: patterns such as national ID, card number, IBAN and phone </w:t>
      </w:r>
      <w:r w:rsidR="00E5708D">
        <w:rPr>
          <w:rFonts w:cs="Segoe UI"/>
        </w:rPr>
        <w:t>captured via regex and validation algorithms (checksum, Luhn, mod-97)</w:t>
      </w:r>
    </w:p>
    <w:p w14:paraId="40AAC6F5" w14:textId="2EACD323" w:rsidR="005B46EB" w:rsidRDefault="005B46EB" w:rsidP="005B46EB">
      <w:pPr>
        <w:spacing w:after="60"/>
        <w:ind w:left="280"/>
        <w:rPr>
          <w:rFonts w:cs="Segoe UI"/>
        </w:rPr>
      </w:pPr>
      <w:r>
        <w:rPr>
          <w:rFonts w:cs="Segoe UI"/>
          <w:color w:val="0F2544"/>
        </w:rPr>
        <w:t xml:space="preserve">▪  </w:t>
      </w:r>
      <w:r>
        <w:rPr>
          <w:rFonts w:cs="Segoe UI"/>
        </w:rPr>
        <w:t xml:space="preserve">Automatic masking: sensitive columns </w:t>
      </w:r>
      <w:r w:rsidR="00E5708D">
        <w:rPr>
          <w:rFonts w:cs="Segoe UI"/>
        </w:rPr>
        <w:t>masked with full mask or partial mask</w:t>
      </w:r>
    </w:p>
    <w:p w14:paraId="4F48F557" w14:textId="38640B72" w:rsidR="005B46EB" w:rsidRDefault="00A252F9" w:rsidP="005B46EB">
      <w:pPr>
        <w:spacing w:after="60"/>
        <w:ind w:left="280"/>
        <w:rPr>
          <w:rFonts w:cs="Segoe UI"/>
        </w:rPr>
      </w:pPr>
      <w:r>
        <w:rPr>
          <w:rFonts w:cs="Segoe UI"/>
          <w:color w:val="0F2544"/>
        </w:rPr>
        <w:t>▪  Extra approval for unmasked data: in the default setting an unmasked column request requires a reason and a separate approval (SystemManager); the organisation can also disable such requests entirely</w:t>
      </w:r>
    </w:p>
    <w:p w14:paraId="0C3BA0A2" w14:textId="74303EB6" w:rsidR="005B46EB" w:rsidRDefault="005B46EB" w:rsidP="005B46EB">
      <w:pPr>
        <w:spacing w:after="60"/>
        <w:ind w:left="280"/>
        <w:rPr>
          <w:rFonts w:cs="Segoe UI"/>
        </w:rPr>
      </w:pPr>
      <w:r>
        <w:rPr>
          <w:rFonts w:cs="Segoe UI"/>
          <w:color w:val="0F2544"/>
        </w:rPr>
        <w:t xml:space="preserve">▪  </w:t>
      </w:r>
      <w:r>
        <w:rPr>
          <w:rFonts w:cs="Segoe UI"/>
        </w:rPr>
        <w:t>Encrypted delivery: query results shared as an encrypted ZIP</w:t>
      </w:r>
    </w:p>
    <w:p w14:paraId="0B52684C" w14:textId="59EC92B2" w:rsidR="005B46EB" w:rsidRDefault="005B46EB" w:rsidP="005B46EB">
      <w:pPr>
        <w:spacing w:after="60"/>
        <w:ind w:left="280"/>
        <w:rPr>
          <w:rFonts w:cs="Segoe UI"/>
        </w:rPr>
      </w:pPr>
      <w:r>
        <w:rPr>
          <w:rFonts w:cs="Segoe UI"/>
          <w:color w:val="0F2544"/>
        </w:rPr>
        <w:t xml:space="preserve">▪  </w:t>
      </w:r>
      <w:r>
        <w:rPr>
          <w:rFonts w:cs="Segoe UI"/>
        </w:rPr>
        <w:t>Traceability: a record of who took which data and for what reason is kept (data processing evidence)</w:t>
      </w:r>
    </w:p>
    <w:p w14:paraId="09275CAC" w14:textId="0BB2D2FD" w:rsidR="005B46EB" w:rsidRDefault="00A252F9" w:rsidP="005B46EB">
      <w:pPr>
        <w:spacing w:after="60"/>
        <w:ind w:left="280"/>
        <w:rPr>
          <w:rFonts w:cs="Segoe UI"/>
        </w:rPr>
      </w:pPr>
      <w:r>
        <w:rPr>
          <w:rFonts w:cs="Segoe UI"/>
          <w:color w:val="0F2544"/>
        </w:rPr>
        <w:t>▪  On-premise installation: the product runs on the organisation's own servers and sends no data to the vendor. If a query result is delivered as an e-mail attachment, a recipient address used for the first time goes through approval; external connections such as e-mail, ITSM and SIEM are used only as far as the organisation enables them</w:t>
      </w:r>
    </w:p>
    <w:p w14:paraId="1D06BDB9" w14:textId="77777777" w:rsidR="005B46EB" w:rsidRDefault="005B46EB" w:rsidP="005B46EB">
      <w:pPr>
        <w:spacing w:after="60"/>
        <w:rPr>
          <w:rFonts w:cs="Segoe UI"/>
        </w:rPr>
      </w:pPr>
    </w:p>
    <w:p w14:paraId="3F66EF9C" w14:textId="6B03051E" w:rsidR="005B46EB" w:rsidRDefault="005B46EB" w:rsidP="005B46EB">
      <w:pPr>
        <w:spacing w:before="280"/>
        <w:rPr>
          <w:rFonts w:ascii="Segoe UI Semibold" w:hAnsi="Segoe UI Semibold" w:cs="Segoe UI"/>
          <w:b/>
          <w:color w:val="0F2544"/>
          <w:sz w:val="40"/>
        </w:rPr>
      </w:pPr>
      <w:r>
        <w:rPr>
          <w:rFonts w:ascii="Segoe UI Semibold" w:hAnsi="Segoe UI Semibold" w:cs="Segoe UI"/>
          <w:b/>
          <w:color w:val="0F2544"/>
          <w:sz w:val="40"/>
        </w:rPr>
        <w:t>3. Audit Trail</w:t>
      </w:r>
    </w:p>
    <w:p w14:paraId="01228C21" w14:textId="637124CC" w:rsidR="005B46EB" w:rsidRDefault="00A252F9" w:rsidP="005B46EB">
      <w:pPr>
        <w:spacing w:after="60"/>
        <w:ind w:left="280"/>
        <w:rPr>
          <w:rFonts w:cs="Segoe UI"/>
        </w:rPr>
      </w:pPr>
      <w:r>
        <w:rPr>
          <w:rFonts w:cs="Segoe UI"/>
          <w:color w:val="0F2544"/>
        </w:rPr>
        <w:t>▪  DML audit trail: date, user and environment record of INSERT/UPDATE/DELETE executed through the product. Operations made on the target database outside the product are not part of this record</w:t>
      </w:r>
    </w:p>
    <w:p w14:paraId="3C5BF3DE" w14:textId="66199E3A" w:rsidR="005B46EB" w:rsidRDefault="00A252F9" w:rsidP="005B46EB">
      <w:pPr>
        <w:spacing w:after="60"/>
        <w:ind w:left="280"/>
        <w:rPr>
          <w:rFonts w:cs="Segoe UI"/>
        </w:rPr>
      </w:pPr>
      <w:r>
        <w:rPr>
          <w:rFonts w:cs="Segoe UI"/>
          <w:color w:val="0F2544"/>
        </w:rPr>
        <w:t>▪  DDL audit trail: CREATE/ALTER/DROP made through the product, tracked with object history</w:t>
      </w:r>
    </w:p>
    <w:p w14:paraId="13734039" w14:textId="1EEAD6A6" w:rsidR="005B46EB" w:rsidRDefault="00A252F9" w:rsidP="005B46EB">
      <w:pPr>
        <w:spacing w:after="60"/>
        <w:ind w:left="280"/>
        <w:rPr>
          <w:rFonts w:cs="Segoe UI"/>
        </w:rPr>
      </w:pPr>
      <w:r>
        <w:rPr>
          <w:rFonts w:cs="Segoe UI"/>
          <w:color w:val="0F2544"/>
        </w:rPr>
        <w:t>▪  DCL/privilege changes: record of GRANT, REVOKE, CREATE/DROP USER made through the product</w:t>
      </w:r>
    </w:p>
    <w:p w14:paraId="082E675A" w14:textId="5EBAB272" w:rsidR="005B46EB" w:rsidRDefault="005B46EB" w:rsidP="005B46EB">
      <w:pPr>
        <w:spacing w:after="60"/>
        <w:ind w:left="280"/>
        <w:rPr>
          <w:rFonts w:cs="Segoe UI"/>
        </w:rPr>
      </w:pPr>
      <w:r>
        <w:rPr>
          <w:rFonts w:cs="Segoe UI"/>
          <w:color w:val="0F2544"/>
        </w:rPr>
        <w:t xml:space="preserve">▪  </w:t>
      </w:r>
      <w:r>
        <w:rPr>
          <w:rFonts w:cs="Segoe UI"/>
        </w:rPr>
        <w:t>Approval evidence: timestamped record of the approver for each action</w:t>
      </w:r>
    </w:p>
    <w:p w14:paraId="6F3E6CEE" w14:textId="5E5EDC2B" w:rsidR="005B46EB" w:rsidRDefault="00A252F9" w:rsidP="005B46EB">
      <w:pPr>
        <w:spacing w:after="60"/>
        <w:ind w:left="280"/>
        <w:rPr>
          <w:rFonts w:cs="Segoe UI"/>
        </w:rPr>
      </w:pPr>
      <w:r>
        <w:rPr>
          <w:rFonts w:cs="Segoe UI"/>
          <w:color w:val="0F2544"/>
        </w:rPr>
        <w:t>▪  Append-only logs: audit records are kept in a SQL Server append-only ledger table; the database engine rejects UPDATE, DELETE and TRUNCATE on this table</w:t>
      </w:r>
    </w:p>
    <w:p w14:paraId="1E2C1580" w14:textId="15A1DF17" w:rsidR="003B108A" w:rsidRPr="003B108A" w:rsidRDefault="00A252F9" w:rsidP="005B46EB">
      <w:pPr>
        <w:spacing w:after="60"/>
        <w:ind w:left="280"/>
        <w:rPr>
          <w:rFonts w:cs="Segoe UI"/>
        </w:rPr>
      </w:pPr>
      <w:r>
        <w:rPr>
          <w:rFonts w:cs="Segoe UI"/>
        </w:rPr>
        <w:t>▪  Evidence integrity verification: that the records have not changed can be verified independently on a copy of the database, with signed ledger digests written outside the database to a store chosen by the organisation</w:t>
      </w:r>
    </w:p>
    <w:p w14:paraId="770DD806" w14:textId="77777777" w:rsidR="005B46EB" w:rsidRDefault="005B46EB" w:rsidP="005B46EB">
      <w:pPr>
        <w:spacing w:after="60"/>
        <w:rPr>
          <w:rFonts w:cs="Segoe UI"/>
        </w:rPr>
      </w:pPr>
    </w:p>
    <w:p w14:paraId="5A29C158" w14:textId="0EEB326D" w:rsidR="005B46EB" w:rsidRDefault="005B46EB" w:rsidP="005B46EB">
      <w:pPr>
        <w:spacing w:before="280"/>
        <w:rPr>
          <w:rFonts w:ascii="Segoe UI Semibold" w:hAnsi="Segoe UI Semibold" w:cs="Segoe UI"/>
          <w:b/>
          <w:color w:val="0F2544"/>
          <w:sz w:val="40"/>
        </w:rPr>
      </w:pPr>
      <w:r>
        <w:rPr>
          <w:rFonts w:ascii="Segoe UI Semibold" w:hAnsi="Segoe UI Semibold" w:cs="Segoe UI"/>
          <w:b/>
          <w:color w:val="0F2544"/>
          <w:sz w:val="40"/>
        </w:rPr>
        <w:lastRenderedPageBreak/>
        <w:t>4. Standard Mapping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5"/>
        <w:gridCol w:w="4835"/>
      </w:tblGrid>
      <w:tr w:rsidR="005B46EB" w:rsidRPr="005B46EB" w14:paraId="287E40AC" w14:textId="77777777" w:rsidTr="005B46EB">
        <w:tc>
          <w:tcPr>
            <w:tcW w:w="4840" w:type="dxa"/>
            <w:shd w:val="clear" w:color="auto" w:fill="0F2544"/>
          </w:tcPr>
          <w:p w14:paraId="232E4903" w14:textId="3F504B3E" w:rsidR="005B46EB" w:rsidRPr="005B46EB" w:rsidRDefault="005B46EB" w:rsidP="005B46EB">
            <w:pPr>
              <w:spacing w:before="280"/>
              <w:rPr>
                <w:rFonts w:cs="Segoe UI"/>
                <w:b/>
                <w:color w:val="F4F6FA"/>
                <w:sz w:val="20"/>
              </w:rPr>
            </w:pPr>
            <w:r w:rsidRPr="005B46EB">
              <w:rPr>
                <w:rFonts w:cs="Segoe UI"/>
                <w:b/>
                <w:color w:val="F4F6FA"/>
                <w:sz w:val="20"/>
              </w:rPr>
              <w:t>Standard / Requirement</w:t>
            </w:r>
          </w:p>
        </w:tc>
        <w:tc>
          <w:tcPr>
            <w:tcW w:w="4840" w:type="dxa"/>
            <w:shd w:val="clear" w:color="auto" w:fill="0F2544"/>
          </w:tcPr>
          <w:p w14:paraId="41B3C44B" w14:textId="0663664A" w:rsidR="005B46EB" w:rsidRPr="005B46EB" w:rsidRDefault="005B46EB" w:rsidP="005B46EB">
            <w:pPr>
              <w:spacing w:before="280"/>
              <w:rPr>
                <w:rFonts w:cs="Segoe UI"/>
                <w:b/>
                <w:color w:val="F4F6FA"/>
                <w:sz w:val="20"/>
              </w:rPr>
            </w:pPr>
            <w:r w:rsidRPr="005B46EB">
              <w:rPr>
                <w:rFonts w:cs="Segoe UI"/>
                <w:b/>
                <w:color w:val="F4F6FA"/>
                <w:sz w:val="20"/>
              </w:rPr>
              <w:t>SQL Change Guard Contribution</w:t>
            </w:r>
          </w:p>
        </w:tc>
      </w:tr>
      <w:tr w:rsidR="005B46EB" w:rsidRPr="005B46EB" w14:paraId="6C0056D8" w14:textId="77777777" w:rsidTr="005B46EB">
        <w:tc>
          <w:tcPr>
            <w:tcW w:w="4840" w:type="dxa"/>
            <w:tcBorders>
              <w:bottom w:val="single" w:sz="4" w:space="0" w:color="auto"/>
            </w:tcBorders>
          </w:tcPr>
          <w:p w14:paraId="0E83CEA5" w14:textId="2E57D36A" w:rsidR="005B46EB" w:rsidRPr="005B46EB" w:rsidRDefault="005B46EB" w:rsidP="005B46EB">
            <w:pPr>
              <w:spacing w:before="280"/>
              <w:rPr>
                <w:rFonts w:cs="Segoe UI"/>
                <w:b/>
                <w:sz w:val="20"/>
              </w:rPr>
            </w:pPr>
            <w:r w:rsidRPr="005B46EB">
              <w:rPr>
                <w:rFonts w:cs="Segoe UI"/>
                <w:b/>
                <w:sz w:val="20"/>
              </w:rPr>
              <w:t>KVKK / GDPR</w:t>
            </w:r>
          </w:p>
        </w:tc>
        <w:tc>
          <w:tcPr>
            <w:tcW w:w="4840" w:type="dxa"/>
            <w:tcBorders>
              <w:bottom w:val="single" w:sz="4" w:space="0" w:color="auto"/>
            </w:tcBorders>
          </w:tcPr>
          <w:p w14:paraId="719B4058" w14:textId="7A565BA0" w:rsidR="005B46EB" w:rsidRPr="005B46EB" w:rsidRDefault="005B46EB" w:rsidP="005B46EB">
            <w:pPr>
              <w:spacing w:before="280"/>
              <w:rPr>
                <w:rFonts w:cs="Segoe UI"/>
                <w:b/>
                <w:sz w:val="20"/>
              </w:rPr>
            </w:pPr>
            <w:r w:rsidRPr="005B46EB">
              <w:rPr>
                <w:rFonts w:cs="Segoe UI"/>
                <w:b/>
                <w:sz w:val="20"/>
              </w:rPr>
              <w:t>Sensitive data masking, access approval, processing record, encrypted delivery</w:t>
            </w:r>
          </w:p>
        </w:tc>
      </w:tr>
      <w:tr w:rsidR="005B46EB" w:rsidRPr="005B46EB" w14:paraId="619D31AF" w14:textId="77777777" w:rsidTr="005B46EB">
        <w:tc>
          <w:tcPr>
            <w:tcW w:w="4840" w:type="dxa"/>
            <w:shd w:val="clear" w:color="auto" w:fill="F0F4FA"/>
          </w:tcPr>
          <w:p w14:paraId="64108571" w14:textId="5E060C53" w:rsidR="005B46EB" w:rsidRPr="005B46EB" w:rsidRDefault="005B46EB" w:rsidP="005B46EB">
            <w:pPr>
              <w:spacing w:before="280"/>
              <w:rPr>
                <w:rFonts w:cs="Segoe UI"/>
                <w:b/>
                <w:sz w:val="20"/>
              </w:rPr>
            </w:pPr>
            <w:r w:rsidRPr="005B46EB">
              <w:rPr>
                <w:rFonts w:cs="Segoe UI"/>
                <w:b/>
                <w:sz w:val="20"/>
              </w:rPr>
              <w:t>ISO 27001</w:t>
            </w:r>
          </w:p>
        </w:tc>
        <w:tc>
          <w:tcPr>
            <w:tcW w:w="4840" w:type="dxa"/>
            <w:shd w:val="clear" w:color="auto" w:fill="F0F4FA"/>
          </w:tcPr>
          <w:p w14:paraId="68DC2C52" w14:textId="2913A817" w:rsidR="005B46EB" w:rsidRPr="005B46EB" w:rsidRDefault="005B46EB" w:rsidP="005B46EB">
            <w:pPr>
              <w:spacing w:before="280"/>
              <w:rPr>
                <w:rFonts w:cs="Segoe UI"/>
                <w:b/>
                <w:sz w:val="20"/>
              </w:rPr>
            </w:pPr>
            <w:r w:rsidRPr="005B46EB">
              <w:rPr>
                <w:rFonts w:cs="Segoe UI"/>
                <w:b/>
                <w:sz w:val="20"/>
              </w:rPr>
              <w:t>Access control, change management, audit logging, separation of duties</w:t>
            </w:r>
          </w:p>
        </w:tc>
      </w:tr>
      <w:tr w:rsidR="005B46EB" w:rsidRPr="005B46EB" w14:paraId="377F229D" w14:textId="77777777" w:rsidTr="005B46EB">
        <w:tc>
          <w:tcPr>
            <w:tcW w:w="4840" w:type="dxa"/>
            <w:tcBorders>
              <w:bottom w:val="single" w:sz="4" w:space="0" w:color="auto"/>
            </w:tcBorders>
          </w:tcPr>
          <w:p w14:paraId="6687F5FE" w14:textId="72244F52" w:rsidR="005B46EB" w:rsidRPr="005B46EB" w:rsidRDefault="005B46EB" w:rsidP="005B46EB">
            <w:pPr>
              <w:spacing w:before="280"/>
              <w:rPr>
                <w:rFonts w:cs="Segoe UI"/>
                <w:b/>
                <w:sz w:val="20"/>
              </w:rPr>
            </w:pPr>
            <w:r w:rsidRPr="005B46EB">
              <w:rPr>
                <w:rFonts w:cs="Segoe UI"/>
                <w:b/>
                <w:sz w:val="20"/>
              </w:rPr>
              <w:t>COBIT</w:t>
            </w:r>
          </w:p>
        </w:tc>
        <w:tc>
          <w:tcPr>
            <w:tcW w:w="4840" w:type="dxa"/>
            <w:tcBorders>
              <w:bottom w:val="single" w:sz="4" w:space="0" w:color="auto"/>
            </w:tcBorders>
          </w:tcPr>
          <w:p w14:paraId="08F4EEF0" w14:textId="7603FC3D" w:rsidR="005B46EB" w:rsidRPr="005B46EB" w:rsidRDefault="005B46EB" w:rsidP="005B46EB">
            <w:pPr>
              <w:spacing w:before="280"/>
              <w:rPr>
                <w:rFonts w:cs="Segoe UI"/>
                <w:b/>
                <w:sz w:val="20"/>
              </w:rPr>
            </w:pPr>
            <w:r w:rsidRPr="005B46EB">
              <w:rPr>
                <w:rFonts w:cs="Segoe UI"/>
                <w:b/>
                <w:sz w:val="20"/>
              </w:rPr>
              <w:t>Change governance, approval workflows, provable controls</w:t>
            </w:r>
          </w:p>
        </w:tc>
      </w:tr>
      <w:tr w:rsidR="005B46EB" w:rsidRPr="005B46EB" w14:paraId="770BD430" w14:textId="77777777" w:rsidTr="005B46EB">
        <w:tc>
          <w:tcPr>
            <w:tcW w:w="4840" w:type="dxa"/>
            <w:shd w:val="clear" w:color="auto" w:fill="F0F4FA"/>
          </w:tcPr>
          <w:p w14:paraId="235FA812" w14:textId="11F0AF51" w:rsidR="005B46EB" w:rsidRPr="005B46EB" w:rsidRDefault="005B46EB" w:rsidP="005B46EB">
            <w:pPr>
              <w:spacing w:before="280"/>
              <w:rPr>
                <w:rFonts w:cs="Segoe UI"/>
                <w:b/>
                <w:sz w:val="20"/>
              </w:rPr>
            </w:pPr>
            <w:r w:rsidRPr="005B46EB">
              <w:rPr>
                <w:rFonts w:cs="Segoe UI"/>
                <w:b/>
                <w:sz w:val="20"/>
              </w:rPr>
              <w:t>ITIL</w:t>
            </w:r>
          </w:p>
        </w:tc>
        <w:tc>
          <w:tcPr>
            <w:tcW w:w="4840" w:type="dxa"/>
            <w:shd w:val="clear" w:color="auto" w:fill="F0F4FA"/>
          </w:tcPr>
          <w:p w14:paraId="27BF7582" w14:textId="59827357" w:rsidR="005B46EB" w:rsidRPr="005B46EB" w:rsidRDefault="005B46EB" w:rsidP="005B46EB">
            <w:pPr>
              <w:spacing w:before="280"/>
              <w:rPr>
                <w:rFonts w:cs="Segoe UI"/>
                <w:b/>
                <w:sz w:val="20"/>
              </w:rPr>
            </w:pPr>
            <w:r w:rsidRPr="005B46EB">
              <w:rPr>
                <w:rFonts w:cs="Segoe UI"/>
                <w:b/>
                <w:sz w:val="20"/>
              </w:rPr>
              <w:t>Change management process, release management, record keeping</w:t>
            </w:r>
          </w:p>
        </w:tc>
      </w:tr>
      <w:tr w:rsidR="005B46EB" w:rsidRPr="005B46EB" w14:paraId="5237BCBC" w14:textId="77777777" w:rsidTr="005B46EB">
        <w:tc>
          <w:tcPr>
            <w:tcW w:w="4840" w:type="dxa"/>
          </w:tcPr>
          <w:p w14:paraId="1BD83F15" w14:textId="7C8FC44B" w:rsidR="005B46EB" w:rsidRPr="005B46EB" w:rsidRDefault="005B46EB" w:rsidP="005B46EB">
            <w:pPr>
              <w:spacing w:before="280"/>
              <w:rPr>
                <w:rFonts w:cs="Segoe UI"/>
                <w:b/>
                <w:sz w:val="20"/>
              </w:rPr>
            </w:pPr>
            <w:r w:rsidRPr="005B46EB">
              <w:rPr>
                <w:rFonts w:cs="Segoe UI"/>
                <w:b/>
                <w:sz w:val="20"/>
              </w:rPr>
              <w:t>Banking / PCI DSS</w:t>
            </w:r>
          </w:p>
        </w:tc>
        <w:tc>
          <w:tcPr>
            <w:tcW w:w="4840" w:type="dxa"/>
          </w:tcPr>
          <w:p w14:paraId="51F8D607" w14:textId="326A5C78" w:rsidR="005B46EB" w:rsidRPr="005B46EB" w:rsidRDefault="005B46EB" w:rsidP="005B46EB">
            <w:pPr>
              <w:spacing w:before="280"/>
              <w:rPr>
                <w:rFonts w:cs="Segoe UI"/>
                <w:b/>
                <w:sz w:val="20"/>
              </w:rPr>
            </w:pPr>
            <w:r w:rsidRPr="005B46EB">
              <w:rPr>
                <w:rFonts w:cs="Segoe UI"/>
                <w:b/>
                <w:sz w:val="20"/>
              </w:rPr>
              <w:t>Evidence of who accessed what, who approved, who executed</w:t>
            </w:r>
          </w:p>
        </w:tc>
      </w:tr>
    </w:tbl>
    <w:p w14:paraId="6C2FF574" w14:textId="77777777" w:rsidR="005B46EB" w:rsidRDefault="005B46EB" w:rsidP="005B46EB">
      <w:pPr>
        <w:spacing w:before="280"/>
        <w:rPr>
          <w:rFonts w:ascii="Segoe UI Semibold" w:hAnsi="Segoe UI Semibold" w:cs="Segoe UI"/>
          <w:b/>
          <w:color w:val="0F2544"/>
          <w:sz w:val="40"/>
        </w:rPr>
      </w:pPr>
    </w:p>
    <w:p w14:paraId="47F595A7" w14:textId="337AFBF7" w:rsidR="005B46EB" w:rsidRDefault="005B46EB">
      <w:pPr>
        <w:spacing w:after="160" w:line="278" w:lineRule="auto"/>
        <w:rPr>
          <w:rFonts w:ascii="Segoe UI Semibold" w:hAnsi="Segoe UI Semibold" w:cs="Segoe UI"/>
          <w:b/>
          <w:color w:val="0F2544"/>
          <w:sz w:val="40"/>
        </w:rPr>
      </w:pPr>
      <w:r>
        <w:rPr>
          <w:rFonts w:ascii="Segoe UI Semibold" w:hAnsi="Segoe UI Semibold" w:cs="Segoe UI"/>
          <w:b/>
          <w:color w:val="0F2544"/>
          <w:sz w:val="40"/>
        </w:rPr>
        <w:br w:type="page"/>
      </w:r>
    </w:p>
    <w:p w14:paraId="1020F379" w14:textId="5B291A09" w:rsidR="005B46EB" w:rsidRDefault="005B46EB" w:rsidP="005B46EB">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5. Audit Evidence Package</w:t>
      </w:r>
    </w:p>
    <w:p w14:paraId="5C1D9686" w14:textId="36542D41" w:rsidR="005B46EB" w:rsidRDefault="00A252F9" w:rsidP="005B46EB">
      <w:pPr>
        <w:rPr>
          <w:rFonts w:cs="Segoe UI"/>
        </w:rPr>
      </w:pPr>
      <w:r>
        <w:rPr>
          <w:rFonts w:cs="Segoe UI"/>
        </w:rPr>
        <w:t>The full lifecycle of a change or data access can be gathered into a single evidence package: request, parse results, risk band, approvals, execution log, rollback and audit records. 34 built-in reports can be provided to auditors in Excel and PDF.</w:t>
      </w:r>
    </w:p>
    <w:p w14:paraId="3A8381F6" w14:textId="4F76118B" w:rsidR="003B108A" w:rsidRPr="003B108A" w:rsidRDefault="00A252F9" w:rsidP="005B46EB">
      <w:pPr>
        <w:rPr>
          <w:rFonts w:cs="Segoe UI"/>
        </w:rPr>
      </w:pPr>
      <w:r>
        <w:rPr>
          <w:rFonts w:cs="Segoe UI"/>
        </w:rPr>
        <w:t>In addition, the full lifecycle of any single request can be downloaded with a single click as one evidence file (a ZIP holding PDF, JSON, a signed digest list and a verification script). The SHA-256 digests of the files in the package are kept in a signed list, so it can be verified whether the package changed after it was generated. Verification can be done in two ways: through the system, or without touching the system at all. In the second way the signature is verified on the auditor's own computer with the public key inside the package, and no confidential value of the organisation is shared. To show which installation the package came from, the fingerprint of this public key must be compared with the fingerprint the organisation hands over separately; the key inside the package does not prove this on its own. On an installation where signing is off, the package is produced unsigned and the verification script says so. Permission to download this file is governed by a separate right, and the download itself is audited.</w:t>
      </w:r>
    </w:p>
    <w:p w14:paraId="1B5F8DDE" w14:textId="0B2ED93B" w:rsidR="000E02FC" w:rsidRDefault="000E02FC" w:rsidP="000E02FC">
      <w:r>
        <w:t>Segregation of duties is reported in four states: satisfied, not enforced, violated, not applicable. A request that produced no approval step is never reported as satisfied. The evidence dossier also shows the person who triggered the execution separately from the worker service, and lists the rule set the request went through in a control environment section. This way the document tells the truth even in a loosely configured organisation.</w:t>
      </w:r>
    </w:p>
    <w:p w14:paraId="292CF045" w14:textId="7547FDEC" w:rsidR="00D51113" w:rsidRDefault="00A252F9" w:rsidP="00D51113">
      <w:r>
        <w:t>Three paths inside the product that could be used to bypass the approval flow are subject to additional controls: release packages accept approved requests only and revalidate the approval status and segregation of duties for every request at execution time, marking a request as manually applied is subject to the requester restriction, and raising an emergency request requires a minimum role. These three paths are the bypass scenarios auditors question most often.</w:t>
      </w:r>
    </w:p>
    <w:p w14:paraId="635E0A61" w14:textId="1F224DC3" w:rsidR="009B07A6" w:rsidRDefault="0042717D" w:rsidP="009B07A6">
      <w:r>
        <w:t>Risk band and applied policy: The evidence dossier contains the risk band of the request, the rule that determined the band, whether a non-skippable standard was triggered, and the name of the approval policy applied to the request. A request cannot be saved for a server without an approval policy; a policy may be missing only for a rollback request, and that fact is recorded as well. This makes it possible to prove afterwards why a request required no approval.</w:t>
      </w:r>
    </w:p>
    <w:p w14:paraId="68F66ED5" w14:textId="3C1DEEC7" w:rsidR="005B46EB" w:rsidRDefault="005B46EB" w:rsidP="005B46EB">
      <w:pPr>
        <w:spacing w:before="280"/>
        <w:rPr>
          <w:rFonts w:ascii="Segoe UI Semibold" w:hAnsi="Segoe UI Semibold" w:cs="Segoe UI Semibold"/>
          <w:b/>
          <w:color w:val="0F2544"/>
          <w:sz w:val="40"/>
        </w:rPr>
      </w:pPr>
      <w:r>
        <w:rPr>
          <w:rFonts w:ascii="Segoe UI Semibold" w:hAnsi="Segoe UI Semibold" w:cs="Segoe UI Semibold"/>
          <w:b/>
          <w:color w:val="0F2544"/>
          <w:sz w:val="40"/>
        </w:rPr>
        <w:t>6. Compliance Reports (Examples)</w:t>
      </w:r>
    </w:p>
    <w:p w14:paraId="2C704ECC" w14:textId="6A014B71" w:rsidR="005B46EB" w:rsidRDefault="005B46EB" w:rsidP="005B46EB">
      <w:pPr>
        <w:spacing w:after="60"/>
        <w:ind w:left="280"/>
        <w:rPr>
          <w:rFonts w:cs="Segoe UI"/>
        </w:rPr>
      </w:pPr>
      <w:r>
        <w:rPr>
          <w:rFonts w:cs="Segoe UI"/>
          <w:color w:val="0F2544"/>
        </w:rPr>
        <w:t xml:space="preserve">▪  </w:t>
      </w:r>
      <w:r>
        <w:rPr>
          <w:rFonts w:cs="Segoe UI"/>
        </w:rPr>
        <w:t>Critical object access and sensitive column touches</w:t>
      </w:r>
    </w:p>
    <w:p w14:paraId="0718F03A" w14:textId="2883E78E" w:rsidR="005B46EB" w:rsidRDefault="005B46EB" w:rsidP="005B46EB">
      <w:pPr>
        <w:spacing w:after="60"/>
        <w:ind w:left="280"/>
        <w:rPr>
          <w:rFonts w:cs="Segoe UI"/>
        </w:rPr>
      </w:pPr>
      <w:r>
        <w:rPr>
          <w:rFonts w:cs="Segoe UI"/>
          <w:color w:val="0F2544"/>
        </w:rPr>
        <w:t xml:space="preserve">▪  </w:t>
      </w:r>
      <w:r>
        <w:rPr>
          <w:rFonts w:cs="Segoe UI"/>
        </w:rPr>
        <w:t>Manual data modifications and detection of operations without a WHERE clause</w:t>
      </w:r>
    </w:p>
    <w:p w14:paraId="0C65BE3F" w14:textId="567DC544" w:rsidR="005B46EB" w:rsidRDefault="005B46EB" w:rsidP="005B46EB">
      <w:pPr>
        <w:spacing w:after="60"/>
        <w:ind w:left="280"/>
        <w:rPr>
          <w:rFonts w:cs="Segoe UI"/>
        </w:rPr>
      </w:pPr>
      <w:r>
        <w:rPr>
          <w:rFonts w:cs="Segoe UI"/>
          <w:color w:val="0F2544"/>
        </w:rPr>
        <w:t xml:space="preserve">▪  </w:t>
      </w:r>
      <w:r>
        <w:rPr>
          <w:rFonts w:cs="Segoe UI"/>
        </w:rPr>
        <w:t>DB permission movements, privileged account operations, user permission matrix</w:t>
      </w:r>
    </w:p>
    <w:p w14:paraId="1F015495" w14:textId="287DD06A" w:rsidR="005B46EB" w:rsidRDefault="005B46EB" w:rsidP="005B46EB">
      <w:pPr>
        <w:spacing w:after="60"/>
        <w:ind w:left="280"/>
        <w:rPr>
          <w:rFonts w:cs="Segoe UI"/>
        </w:rPr>
      </w:pPr>
      <w:r>
        <w:rPr>
          <w:rFonts w:cs="Segoe UI"/>
          <w:color w:val="0F2544"/>
        </w:rPr>
        <w:t xml:space="preserve">▪  </w:t>
      </w:r>
      <w:r>
        <w:rPr>
          <w:rFonts w:cs="Segoe UI"/>
        </w:rPr>
        <w:t>QR masking log and query result activity</w:t>
      </w:r>
    </w:p>
    <w:p w14:paraId="12EAE51D" w14:textId="77777777" w:rsidR="005B46EB" w:rsidRDefault="005B46EB" w:rsidP="005B46EB">
      <w:pPr>
        <w:spacing w:after="60"/>
        <w:rPr>
          <w:rFonts w:cs="Segoe UI"/>
        </w:rPr>
      </w:pPr>
    </w:p>
    <w:p w14:paraId="1B59CD2D" w14:textId="5F20E7AD" w:rsidR="005B46EB" w:rsidRDefault="005B46EB" w:rsidP="005B46EB">
      <w:pPr>
        <w:spacing w:before="280"/>
        <w:rPr>
          <w:rFonts w:ascii="Segoe UI Semibold" w:hAnsi="Segoe UI Semibold" w:cs="Segoe UI Semibold"/>
          <w:b/>
          <w:color w:val="0F2544"/>
          <w:sz w:val="40"/>
        </w:rPr>
      </w:pPr>
      <w:r>
        <w:rPr>
          <w:rFonts w:ascii="Segoe UI Semibold" w:hAnsi="Segoe UI Semibold" w:cs="Segoe UI Semibold"/>
          <w:b/>
          <w:color w:val="0F2544"/>
          <w:sz w:val="40"/>
        </w:rPr>
        <w:t>7. Disclaimer</w:t>
      </w:r>
    </w:p>
    <w:p w14:paraId="0EEA5423" w14:textId="4EAA8134" w:rsidR="005B46EB" w:rsidRDefault="005B46EB" w:rsidP="005B46EB">
      <w:pPr>
        <w:rPr>
          <w:rFonts w:cs="Segoe UI"/>
        </w:rPr>
      </w:pPr>
      <w:r>
        <w:rPr>
          <w:rFonts w:cs="Segoe UI"/>
        </w:rPr>
        <w:lastRenderedPageBreak/>
        <w:t>SQL Change Guard provides a control and evidence infrastructure that supports compliance processes. Ultimate compliance responsibility should be assessed together with the organization's own policies and practices.</w:t>
      </w:r>
    </w:p>
    <w:p w14:paraId="2C153D2E" w14:textId="45D8D1AC" w:rsidR="005B46EB" w:rsidRDefault="008A7F6E" w:rsidP="008A7F6E">
      <w:pPr>
        <w:pStyle w:val="Heading1"/>
      </w:pPr>
      <w:r>
        <w:t>Encryption and Key Management</w:t>
      </w:r>
    </w:p>
    <w:p w14:paraId="0AF7AB83" w14:textId="4C3D6C10" w:rsidR="008A7F6E" w:rsidRDefault="008A7F6E" w:rsidP="008A7F6E">
      <w:r>
        <w:t>SQL Change Guard protects sensitive data in three distinct categories, each with a cryptographic method suited to its purpose. Secrets that never need to be recovered are hashed one-way; secrets that the application must recover in order to operate are stored with authenticated encryption. This ensures every piece of data is protected with the most appropriate, industry-standard technique.</w:t>
      </w:r>
    </w:p>
    <w:p w14:paraId="7EBA07E9" w14:textId="2C1A53DC" w:rsidR="008A7F6E" w:rsidRDefault="008A7F6E" w:rsidP="008A7F6E">
      <w:pPr>
        <w:pStyle w:val="Heading2"/>
      </w:pPr>
      <w:r>
        <w:t xml:space="preserve">1. User passwords </w:t>
      </w:r>
      <w:r w:rsidR="004F1EA7">
        <w:t>-</w:t>
      </w:r>
      <w:r>
        <w:t xml:space="preserve"> BCrypt (one-way hash)</w:t>
      </w:r>
    </w:p>
    <w:p w14:paraId="1BE62B78" w14:textId="023A88AA" w:rsidR="008A7F6E" w:rsidRDefault="00A252F9" w:rsidP="008A7F6E">
      <w:r>
        <w:t>User passwords are stored hashed with BCrypt (work factor 12, with a random per-record salt). This is a one-way operation: the plaintext password is never stored anywhere. Authentication is performed by re-hashing the entered password and comparing it to the stored hash. Even if the database is compromised, the plaintext password cannot be read directly; because weak passwords can be found by guessing, password rules should be tightened according to the organisation's policy.</w:t>
      </w:r>
    </w:p>
    <w:p w14:paraId="409A44F5" w14:textId="122A23A4" w:rsidR="00206F27" w:rsidRDefault="00190115" w:rsidP="00206F27">
      <w:r>
        <w:t>The password of LDAP accounts and of accounts that sign in with a corporate account (SSO) is never kept in the product; it is verified by the organisation's directory or identity provider. With corporate sign-in the product stores only the person's permanent identity, user name, email and role; the group information received at sign-in is written only to the audit record.</w:t>
      </w:r>
    </w:p>
    <w:p w14:paraId="642C9475" w14:textId="76DABD3A" w:rsidR="008A7F6E" w:rsidRDefault="008A7F6E" w:rsidP="008A7F6E">
      <w:pPr>
        <w:pStyle w:val="Heading2"/>
      </w:pPr>
      <w:r>
        <w:t xml:space="preserve">2. Server database passwords </w:t>
      </w:r>
      <w:r w:rsidR="004F1EA7">
        <w:t>-</w:t>
      </w:r>
      <w:r>
        <w:t xml:space="preserve"> AES-256-GCM (encryption)</w:t>
      </w:r>
    </w:p>
    <w:p w14:paraId="25D69A10" w14:textId="3A01D5F8" w:rsidR="008A7F6E" w:rsidRDefault="008A7F6E" w:rsidP="008A7F6E">
      <w:r>
        <w:t>Passwords used to connect to target databases (Servers.SqlPassword) are stored at rest with AES-256-GCM authenticated encryption. GCM mode provides both confidentiality and integrity: each record includes a random nonce and an authentication tag, so tampered data cannot be decrypted. The application decrypts the password only briefly in memory when connecting to the target database.</w:t>
      </w:r>
    </w:p>
    <w:p w14:paraId="35ECDF9F" w14:textId="26CD1FF7" w:rsidR="008A7F6E" w:rsidRDefault="008A7F6E" w:rsidP="008A7F6E">
      <w:pPr>
        <w:pStyle w:val="Heading2"/>
      </w:pPr>
      <w:r>
        <w:t xml:space="preserve">3. QR package zip passwords </w:t>
      </w:r>
      <w:r w:rsidR="004F1EA7">
        <w:t>-</w:t>
      </w:r>
      <w:r>
        <w:t xml:space="preserve"> AES-256-GCM (encryption)</w:t>
      </w:r>
    </w:p>
    <w:p w14:paraId="6771577A" w14:textId="652D7978" w:rsidR="008A7F6E" w:rsidRDefault="008A7F6E" w:rsidP="008A7F6E">
      <w:r>
        <w:t>The passwords generated for the password-protected zip files of QueryResult (QR) packages are stored using exactly the same principle as server passwords, encrypted with AES-256-GCM. This means all reversible secrets use a single, authenticated cryptographic method, improving both security and clarity of the system.</w:t>
      </w:r>
    </w:p>
    <w:p w14:paraId="56508675" w14:textId="0E76B2D9" w:rsidR="008A7F6E" w:rsidRDefault="00F511FA" w:rsidP="008A7F6E">
      <w:pPr>
        <w:pStyle w:val="Heading2"/>
      </w:pPr>
      <w:r>
        <w:t>Audit trail integrity - append-only ledger</w:t>
      </w:r>
    </w:p>
    <w:p w14:paraId="73741E87" w14:textId="3A1C2EB2" w:rsidR="008A7F6E" w:rsidRDefault="00A252F9" w:rsidP="008A7F6E">
      <w:r>
        <w:t>Audit records are kept in a SQL Server append-only ledger table. The database engine rejects changing or deleting records for everyone, sysadmin included. The product writes to the table only through a single write procedure; the procedure, the table and the evidence schema are checked regularly, and state changing operations stop if the boundary is broken. The integrity of the records does not depend on a secret key. On its own the ledger does not protect against the database being restored to an old backup; such a restore is detected with the signed ledger digests written outside the database.</w:t>
      </w:r>
    </w:p>
    <w:p w14:paraId="4D5E0545" w14:textId="2AFCFEAF" w:rsidR="008A7F6E" w:rsidRDefault="008A7F6E" w:rsidP="008A7F6E">
      <w:pPr>
        <w:pStyle w:val="Heading2"/>
      </w:pPr>
      <w:r>
        <w:lastRenderedPageBreak/>
        <w:t>Key management</w:t>
      </w:r>
    </w:p>
    <w:p w14:paraId="4F278ABB" w14:textId="340D97F2" w:rsidR="008A7F6E" w:rsidRDefault="00A252F9" w:rsidP="008A7F6E">
      <w:r>
        <w:t>All encryption keys are 256-bit (32 bytes, base64) and are consolidated under the Security section of the application configuration: Security:ServerPasswordKey (server passwords) and Security:QrZipPasswordKey (QR zip passwords). In production, keys are supplied as environment variables; they are never embedded in source code or the database.</w:t>
      </w:r>
    </w:p>
    <w:p w14:paraId="21207143" w14:textId="3184F291" w:rsidR="008A7F6E" w:rsidRDefault="00F511FA" w:rsidP="008A7F6E">
      <w:r>
        <w:rPr>
          <w:b/>
        </w:rPr>
        <w:t>Summary: user passwords use a one-way hash (BCrypt); server and QR zip passwords use two-way encryption (AES-256-GCM); the audit trail is protected by the append-only ledger and a signed external digest.</w:t>
      </w:r>
    </w:p>
    <w:p w14:paraId="0B8FE6B4" w14:textId="02552E36" w:rsidR="008A7F6E" w:rsidRDefault="00A252F9" w:rsidP="003B0C32">
      <w:r>
        <w:t xml:space="preserve">Audit ledger: audit records are kept in an append-only SQL Server ledger table; the database engine rejects changing or deleting records for everyone, the database administrator included. </w:t>
      </w:r>
      <w:r w:rsidR="00DB0D61">
        <w:t>A ledger digest, taken every hour by default (signed when signing is on), is written to a folder chosen by the organisation;</w:t>
      </w:r>
      <w:r>
        <w:t xml:space="preserve"> keeping that folder on an immutable (WORM) store is the organisation's responsibility. With these digests the auditor verifies the ledger without trusting the product. A signed period package, downloaded for a period chosen by the auditor (up to 92 days), reconciles every request of the period row by row between the request table and the audit trail and answers the question "did I see every request".</w:t>
      </w:r>
    </w:p>
    <w:p w14:paraId="5BF1FAED" w14:textId="26111EE6" w:rsidR="003B0C32" w:rsidRDefault="003B0C32" w:rsidP="003B0C32">
      <w:r>
        <w:t>Personal data and secrets: because records cannot be deleted from the ledger, the content of an event is scanned before it is recorded. Password, secret and key fields are masked; a valid Turkish identity number, card number or IBAN in free text such as a description or reason is masked. On a failed sign-in, the name typed by the user is not recorded if the account does not exist in the system.</w:t>
      </w:r>
    </w:p>
    <w:p w14:paraId="103E6C6B" w14:textId="77777777" w:rsidR="003B0C32" w:rsidRPr="008A7F6E" w:rsidRDefault="003B0C32" w:rsidP="008A7F6E"/>
    <w:p w14:paraId="68EB5446" w14:textId="270CE05E" w:rsidR="005B46EB" w:rsidRDefault="005B46EB" w:rsidP="005B46EB">
      <w:pPr>
        <w:spacing w:before="280"/>
        <w:rPr>
          <w:rFonts w:ascii="Segoe UI Semibold" w:hAnsi="Segoe UI Semibold" w:cs="Segoe UI Semibold"/>
          <w:b/>
          <w:color w:val="0F2544"/>
          <w:sz w:val="40"/>
        </w:rPr>
      </w:pPr>
      <w:r>
        <w:rPr>
          <w:rFonts w:ascii="Segoe UI Semibold" w:hAnsi="Segoe UI Semibold" w:cs="Segoe UI Semibold"/>
          <w:b/>
          <w:color w:val="0F2544"/>
          <w:sz w:val="40"/>
        </w:rPr>
        <w:t>8. Contact</w:t>
      </w:r>
    </w:p>
    <w:p w14:paraId="38FDC79E" w14:textId="73E54A1E" w:rsidR="005B46EB" w:rsidRDefault="005B46EB" w:rsidP="005B46EB">
      <w:pPr>
        <w:spacing w:after="60"/>
        <w:ind w:left="280"/>
        <w:rPr>
          <w:rFonts w:cs="Segoe UI"/>
        </w:rPr>
      </w:pPr>
      <w:r>
        <w:rPr>
          <w:rFonts w:cs="Segoe UI"/>
          <w:color w:val="0F2544"/>
        </w:rPr>
        <w:t xml:space="preserve">▪  </w:t>
      </w:r>
      <w:r>
        <w:rPr>
          <w:rFonts w:cs="Segoe UI"/>
        </w:rPr>
        <w:t>Web: www.sqlchangeguard.com</w:t>
      </w:r>
    </w:p>
    <w:p w14:paraId="069B6C70" w14:textId="565FA72A" w:rsidR="005B46EB" w:rsidRDefault="005B46EB" w:rsidP="005B46EB">
      <w:pPr>
        <w:spacing w:after="60"/>
        <w:ind w:left="280"/>
        <w:rPr>
          <w:rFonts w:cs="Segoe UI"/>
        </w:rPr>
      </w:pPr>
      <w:r>
        <w:rPr>
          <w:rFonts w:cs="Segoe UI"/>
          <w:color w:val="0F2544"/>
        </w:rPr>
        <w:t xml:space="preserve">▪  </w:t>
      </w:r>
      <w:r>
        <w:rPr>
          <w:rFonts w:cs="Segoe UI"/>
        </w:rPr>
        <w:t>Email: onur.egilmez@sqlchangeguard.com  |  info@sqlchangeguard.com</w:t>
      </w:r>
    </w:p>
    <w:p w14:paraId="51AE77D4" w14:textId="55FD7214" w:rsidR="005B46EB" w:rsidRDefault="005B46EB" w:rsidP="005B46EB">
      <w:pPr>
        <w:spacing w:after="60"/>
        <w:ind w:left="280"/>
        <w:rPr>
          <w:rFonts w:cs="Segoe UI"/>
        </w:rPr>
      </w:pPr>
      <w:r>
        <w:rPr>
          <w:rFonts w:cs="Segoe UI"/>
          <w:color w:val="0F2544"/>
        </w:rPr>
        <w:t xml:space="preserve">▪  </w:t>
      </w:r>
      <w:r>
        <w:rPr>
          <w:rFonts w:cs="Segoe UI"/>
        </w:rPr>
        <w:t>Phone: +90 505 621 29 02</w:t>
      </w:r>
    </w:p>
    <w:p w14:paraId="7AE900B1" w14:textId="59C17218" w:rsidR="005B46EB" w:rsidRDefault="005B46EB" w:rsidP="005B46EB">
      <w:pPr>
        <w:spacing w:after="60"/>
        <w:ind w:left="280"/>
        <w:rPr>
          <w:rFonts w:cs="Segoe UI"/>
        </w:rPr>
      </w:pPr>
      <w:r>
        <w:rPr>
          <w:rFonts w:cs="Segoe UI"/>
          <w:color w:val="0F2544"/>
        </w:rPr>
        <w:t xml:space="preserve">▪  </w:t>
      </w:r>
      <w:r>
        <w:rPr>
          <w:rFonts w:cs="Segoe UI"/>
        </w:rPr>
        <w:t>LinkedIn: linkedin.com/company/sqlchangeguard</w:t>
      </w:r>
    </w:p>
    <w:p w14:paraId="3CE29FC8" w14:textId="77777777" w:rsidR="005B46EB" w:rsidRDefault="005B46EB" w:rsidP="005B46EB">
      <w:pPr>
        <w:spacing w:after="60"/>
        <w:rPr>
          <w:rFonts w:cs="Segoe UI"/>
        </w:rPr>
      </w:pPr>
    </w:p>
    <w:p w14:paraId="0E8B717E" w14:textId="77777777" w:rsidR="00CB2C37" w:rsidRDefault="00CB2C37" w:rsidP="00CB2C37">
      <w:pPr>
        <w:pStyle w:val="Heading1"/>
      </w:pPr>
      <w:r>
        <w:t>Sensitive Data Masking: Validated Detection and Server Level Regime</w:t>
      </w:r>
    </w:p>
    <w:p w14:paraId="5587610A" w14:textId="77777777" w:rsidR="00CB2C37" w:rsidRDefault="00CB2C37" w:rsidP="00CB2C37">
      <w:r>
        <w:t>Masking works through two independent mechanisms that cover each other's blind spots.</w:t>
      </w:r>
    </w:p>
    <w:p w14:paraId="61CAA3BE" w14:textId="77777777" w:rsidR="00CB2C37" w:rsidRDefault="00CB2C37" w:rsidP="00CB2C37">
      <w:r>
        <w:t>The first is the classification catalog. It looks at the column name and never at the data. For example, every column whose name contains TCKN is masked. This mechanism also covers numeric columns, which is the only protection in systems that keep identity numbers as numbers. Every rule carries a label shown to the auditor, such as identity, contact, health, education or payment card. A ready made starter set covering finance, retail, healthcare and education is installed with the product.</w:t>
      </w:r>
    </w:p>
    <w:p w14:paraId="654FD27B" w14:textId="141E0A4C" w:rsidR="00CB2C37" w:rsidRDefault="00A252F9" w:rsidP="00CB2C37">
      <w:r>
        <w:t xml:space="preserve">The second is data patterns. These ignore the column name and inspect cell contents. The important part is that a pattern can be bound to a validation algorithm: a checksum for the national identity number, Luhn for card numbers, mod-97 for IBANs. </w:t>
      </w:r>
      <w:r w:rsidR="00DB0D61">
        <w:t>As a result an eleven digit order number is largely kept from being masked for nothing, while a real identity number is masked.</w:t>
      </w:r>
      <w:r>
        <w:t xml:space="preserve"> This reduces unnecessary unmasked data requests.</w:t>
      </w:r>
    </w:p>
    <w:p w14:paraId="57F40CF9" w14:textId="63621692" w:rsidR="00CB2C37" w:rsidRDefault="00A252F9" w:rsidP="00CB2C37">
      <w:r>
        <w:t>Column preview. While a request is being saved, the system connects to the target server and asks which columns the query returns. The query is not executed and no row is read. This lets the requester and the approver see which columns will be masked before delivery. Even when the query uses an alias, the source column is identified; giving an alias does not bypass masking based on the column name.</w:t>
      </w:r>
    </w:p>
    <w:p w14:paraId="454B878F" w14:textId="6B337922" w:rsidR="00CB2C37" w:rsidRDefault="00A252F9" w:rsidP="00CB2C37">
      <w:r>
        <w:t>Server level regime. Because masking is a property of the data, the setting lives on the server definition. There are two regimes: full masking and content only. The content only regime is intended for environments that hold synthetic data. It does not mask columns by name, but if real data is loaded onto that server the validated patterns take effect and masking returns automatically for fields that have a pattern. Fields without a pattern, such as names and addresses, are delivered open in this regime. This regime cannot be selected without a written reason, and a change is written to the audit trail as a separate event. When a request targets several servers the decisions are made per server: the result from a production server can be masked while the result from a server holding synthetic data stays open.</w:t>
      </w:r>
    </w:p>
    <w:p w14:paraId="2536B954" w14:textId="5A5A563F" w:rsidR="00CB2C37" w:rsidRDefault="00F511FA" w:rsidP="00CB2C37">
      <w:r>
        <w:t>Evidence. For every delivery the system records, column by column, why a column was masked: classification catalog, data pattern, approved unmasked request or detection time budget exceeded. The record is per server, and the regime and exemption reason are frozen at delivery time together with the number of columns and rows delivered, so the evidence stays intact even if the server definition is changed later. The digest of the record is also written to the evidence ledger at delivery time; the evidence dossier compares the stored record with that digest and marks it with a red verdict if the record was changed after delivery. Masking can be switched off with an organisation wide parameter, but even then every delivery is recorded and marked with a red verdict in the evidence dossier.</w:t>
      </w:r>
    </w:p>
    <w:p w14:paraId="664E37CD" w14:textId="5B76B46A" w:rsidR="00CB2C37" w:rsidRDefault="00CB2C37" w:rsidP="00CB2C37">
      <w:r>
        <w:t>Learning loop. Columns caught by a pattern but missing from the catalog collect as candidates; a database administrator turns them into permanent rules or ignores them. The candidate list holds no data values, only column, table and pattern names. This way the classification sharpens over time without anyone looking at production data.</w:t>
      </w:r>
    </w:p>
    <w:p w14:paraId="3F116D7E" w14:textId="77777777" w:rsidR="003C2EC6" w:rsidRDefault="003C2EC6" w:rsidP="003C2EC6">
      <w:pPr>
        <w:pStyle w:val="Heading1"/>
      </w:pPr>
      <w:r>
        <w:t>Evidence: Which Rules Applied on the Day</w:t>
      </w:r>
    </w:p>
    <w:p w14:paraId="0154E2DC" w14:textId="77777777" w:rsidR="003C2EC6" w:rsidRDefault="003C2EC6" w:rsidP="003C2EC6">
      <w:r>
        <w:t>Rules change over time. A setting may be strict today and have been relaxed six months ago. The question asked during an audit is this: which rules applied to this request on the day it was processed? The system answers that question from a record frozen on that day, not from the current settings.</w:t>
      </w:r>
    </w:p>
    <w:p w14:paraId="5A957EB4" w14:textId="77777777" w:rsidR="003C2EC6" w:rsidRDefault="003C2EC6" w:rsidP="003C2EC6">
      <w:r>
        <w:t>Rule set snapshot. Whenever a request is saved, the rule set in force at that moment is written to a single audit record: the identity and control flags of the target servers (rollback requirement, automatic execution, masking regime), the approval and segregation of duties rules, the sensitive data masking settings, the result file access rules, the list of SQL standards that were blocking on that day, and the licensed modules that were open. The record does not change when a rule changes later.</w:t>
      </w:r>
    </w:p>
    <w:p w14:paraId="1E9AD068" w14:textId="03C91CE1" w:rsidR="003C2EC6" w:rsidRDefault="00A252F9" w:rsidP="003C2EC6">
      <w:r>
        <w:t>Settings at delivery time. A request may be saved on one date and executed on another. Because masking happens at execution time, the threshold, sample size, sampling mode and time budget in force at that moment are frozen into the delivery record as well. This makes it possible to answer, with the settings of that day, why no column was masked in a given delivery.</w:t>
      </w:r>
    </w:p>
    <w:p w14:paraId="409EC114" w14:textId="77777777" w:rsidR="003C2EC6" w:rsidRDefault="003C2EC6" w:rsidP="003C2EC6">
      <w:r>
        <w:t>Control changes are recorded as separate events. Changing a setting and relaxing a control are not the same thing. Relaxing a masking regime, removing a rollback requirement, enabling automatic execution, disabling a detection pattern, deleting a classification rule, adding an address to the recipient pool, stopping a maintenance task and changing licensed modules are each written under their own event name. Relaxing and tightening receive different names. The audit screen can search by event name, so which control was relaxed, when and by whom is visible in a single list.</w:t>
      </w:r>
    </w:p>
    <w:p w14:paraId="440ED2C1" w14:textId="1D7A37E6" w:rsidR="003C2EC6" w:rsidRDefault="00A252F9" w:rsidP="003C2EC6">
      <w:r>
        <w:t>Two record layers. The application audit trail holds events that carry business meaning and is visible on screen. A second layer at the database level works through triggers on the application tables, so a change made directly to those tables with an administration tool also leaves a trace. This layer is a supporting record: because the trigger can be disabled and its rows can be deleted, it is not strong evidence on its own and is assessed together with the ledger and the external digest. The two layers do not replace each other, one completes the other.</w:t>
      </w:r>
    </w:p>
    <w:p w14:paraId="13936155" w14:textId="77777777" w:rsidR="003C2EC6" w:rsidRDefault="003C2EC6" w:rsidP="003C2EC6">
      <w:r>
        <w:t>Visible in the evidence dossier. The request level evidence dossier lists the rule set in force on the day the request was processed in its own readable section. An auditor sees both what happened and under which rules it happened in a single document.</w:t>
      </w:r>
    </w:p>
    <w:p w14:paraId="3BC766FC" w14:textId="47B39D91" w:rsidR="003C2EC6" w:rsidRDefault="003C2EC6" w:rsidP="003C2EC6">
      <w:r>
        <w:t>Release package scope. Release packages carry change requests only. Query result requests cannot be part of a package; a result file is only delivered through its own flow, which applies sensitive data masking and writes the audit record. This rule is enforced on the server side as well, independently of the user interface.</w:t>
      </w:r>
    </w:p>
    <w:p w14:paraId="4F1EC8F8" w14:textId="77777777" w:rsidR="00701B76" w:rsidRDefault="00701B76" w:rsidP="00701B76">
      <w:pPr>
        <w:pStyle w:val="Heading1"/>
      </w:pPr>
      <w:r>
        <w:t>Four Eyes Principle for Settings Changes</w:t>
      </w:r>
    </w:p>
    <w:p w14:paraId="25451A9D" w14:textId="77777777" w:rsidR="00701B76" w:rsidRDefault="00701B76" w:rsidP="00701B76">
      <w:r>
        <w:t>A settings change that weakens a control should not be made by a single person. The system can put settings screen changes behind approval: the change is not applied immediately, it waits for approval, and the previous value stays in effect until it is approved.</w:t>
      </w:r>
    </w:p>
    <w:p w14:paraId="0BFE46EF" w14:textId="77777777" w:rsidR="00701B76" w:rsidRDefault="00701B76" w:rsidP="00701B76">
      <w:r>
        <w:t>How it works. A pending change is held in a separate record; the real settings table is not touched until approval is given. As a result the rest of the system keeps reading the previous value and a half applied setting never occurs. On approval the change is applied through the very same path as if the user had saved it, so the licence limit, validation and concurrency checks all run again at that moment.</w:t>
      </w:r>
    </w:p>
    <w:p w14:paraId="6F288942" w14:textId="77777777" w:rsidR="00701B76" w:rsidRDefault="00701B76" w:rsidP="00701B76">
      <w:r>
        <w:t>Approval authority. A settings change is approved by another user who holds the permission of that screen. No separate approver role is defined; the permissions already exist in the role definition. Nobody can approve or reject a change they requested themselves, and this rule is not optional. The approval list is filtered by permission: a person only sees approvals for the screens they are authorised for.</w:t>
      </w:r>
    </w:p>
    <w:p w14:paraId="481EFF44" w14:textId="337224C9" w:rsidR="00701B76" w:rsidRDefault="00701B76" w:rsidP="00701B76">
      <w:r>
        <w:t xml:space="preserve">Scope. The feature is governed by one organisation wide parameter with three options: disabled, control settings only, all settings. The default is disabled. Under control settings only, </w:t>
      </w:r>
      <w:r w:rsidR="006C4181">
        <w:t>server definitions, user records, the role permission matrix, approval policies, SQL standards, the critical object list, the sensitive column catalog, sensitive data patterns, approved recipient addresses, maintenance jobs</w:t>
      </w:r>
      <w:r w:rsidR="00553DCC">
        <w:t xml:space="preserve"> and control parameters such as masking, approval and segregation of duties wait for approval</w:t>
      </w:r>
      <w:r>
        <w:t xml:space="preserve">, while operational settings do not slow the flow down. </w:t>
      </w:r>
      <w:r w:rsidR="00553DCC">
        <w:t>The feature itself is a control: turning it on is applied immediately, turning it off requires approval. Password reset and user unlock are deliberately out of scope: they are help desk actions and are written to the audit record.</w:t>
      </w:r>
    </w:p>
    <w:p w14:paraId="45E48C3C" w14:textId="77777777" w:rsidR="00701B76" w:rsidRDefault="00701B76" w:rsidP="00701B76">
      <w:r>
        <w:t>On screen. A record with a pending change is marked on its settings screen and cannot be edited again; a notice at the top of the screen shows how many changes are waiting. After saving, the user is told clearly that the change was not applied but sent for approval. A separate approval screen shows the previous and the requested value side by side and highlights the fields that differ.</w:t>
      </w:r>
    </w:p>
    <w:p w14:paraId="2A74A0FA" w14:textId="77777777" w:rsidR="00701B76" w:rsidRDefault="00701B76" w:rsidP="00701B76">
      <w:r>
        <w:t>Records. Requesting, approving, rejecting and failing to apply an approved change are written as separate audit events. At approval the change also produces its own audit record, so who approved it and what the value became can be traced separately. Rejection requires a reason.</w:t>
      </w:r>
    </w:p>
    <w:p w14:paraId="2B6C2E62" w14:textId="4138D503" w:rsidR="00701B76" w:rsidRDefault="00701B76" w:rsidP="00701B76">
      <w:r>
        <w:t>Deployment note. Because nobody can approve their own request, at least two users must hold each screen permission in scope. In practice this comes down to a single requirement: at least two system manager users must be defined.</w:t>
      </w:r>
    </w:p>
    <w:p w14:paraId="2A3C8CA0" w14:textId="77777777" w:rsidR="00603D4F" w:rsidRDefault="00603D4F" w:rsidP="00603D4F">
      <w:pPr>
        <w:pStyle w:val="Heading1"/>
      </w:pPr>
      <w:r>
        <w:t>The Auditor Role</w:t>
      </w:r>
    </w:p>
    <w:p w14:paraId="3BA5B820" w14:textId="77777777" w:rsidR="00603D4F" w:rsidRDefault="00603D4F" w:rsidP="00603D4F">
      <w:r>
        <w:t>What audit teams usually need is one thing: to see. Who did what, which approval it passed, which data went to whom. None of that requires administrator rights. SQL Change Guard answers this need with a dedicated role.</w:t>
      </w:r>
    </w:p>
    <w:p w14:paraId="565B5315" w14:textId="77777777" w:rsidR="00603D4F" w:rsidRDefault="00603D4F" w:rsidP="00603D4F">
      <w:r>
        <w:t>What the auditor can do. See every request, review audit records, use reports and the dashboard, produce and download the evidence dossier for a request, verify the integrity of the audit trail and view notification logs.</w:t>
      </w:r>
    </w:p>
    <w:p w14:paraId="6853503E" w14:textId="65CC3F70" w:rsidR="00603D4F" w:rsidRDefault="00A252F9" w:rsidP="00603D4F">
      <w:r>
        <w:t>What the auditor cannot do. Raise a request, approve, execute, use the sandbox, manage any settings screen, or, in the default setting, download a query result file (the minimum role for downloads is an organisation parameter, ChangeManager by default).</w:t>
      </w:r>
    </w:p>
    <w:p w14:paraId="008036DA" w14:textId="77777777" w:rsidR="00603D4F" w:rsidRDefault="00603D4F" w:rsidP="00603D4F">
      <w:r>
        <w:t>The last item is deliberate. Query result data never enters the evidence package, so the auditor reaches the evidence without reaching production data. Auditing does not require seeing personal data, so this boundary does not weaken the audit; it narrows the organization data surface.</w:t>
      </w:r>
    </w:p>
    <w:p w14:paraId="170D2E09" w14:textId="77777777" w:rsidR="00603D4F" w:rsidRDefault="00603D4F" w:rsidP="00603D4F">
      <w:r>
        <w:t>There is no adding or deleting evidence. The evidence dossier is produced from the request itself and no editable evidence store exists. If an auditor could add or delete evidence, the evidence would stop being evidence.</w:t>
      </w:r>
    </w:p>
    <w:p w14:paraId="2A8061C7" w14:textId="77777777" w:rsidR="00603D4F" w:rsidRDefault="00603D4F" w:rsidP="00603D4F">
      <w:r>
        <w:t>Segregation of duties. The auditor cannot be selected as an approver in a policy step, and the auditor role cannot be granted approve or execute permissions. Someone who audits must not become someone who approves, so this rule is not optional.</w:t>
      </w:r>
    </w:p>
    <w:p w14:paraId="1B34A0EA" w14:textId="544CF17B" w:rsidR="00603D4F" w:rsidRDefault="00603D4F" w:rsidP="00603D4F">
      <w:r>
        <w:t>Deployment note. The product ships with a single administrator account and no ready made auditor account. Each organization defines its own auditor, so no installation carries an audit account with a known password.</w:t>
      </w:r>
    </w:p>
    <w:p w14:paraId="5D609672" w14:textId="77777777" w:rsidR="00B319A3" w:rsidRDefault="00B319A3" w:rsidP="00B319A3">
      <w:pPr>
        <w:pStyle w:val="Heading1"/>
      </w:pPr>
      <w:r>
        <w:t>Who Did What in Settings Approvals</w:t>
      </w:r>
    </w:p>
    <w:p w14:paraId="2B206C9F" w14:textId="77777777" w:rsidR="00B319A3" w:rsidRDefault="00B319A3" w:rsidP="00B319A3">
      <w:r>
        <w:t>While the four eyes rule is on, one person requests a settings change and another person holding the same permission approves it. Both names must be visible on the record; otherwise an audit gets a single answer to "who changed this setting" and that answer is incomplete.</w:t>
      </w:r>
    </w:p>
    <w:p w14:paraId="32E55509" w14:textId="0F38E9A0" w:rsidR="00B319A3" w:rsidRDefault="00A252F9" w:rsidP="00B319A3">
      <w:r>
        <w:t>The last change column. Every settings screen inside the four eyes scope carries a last change column. The top line shows who changed the record and when. The green badge below shows the approver. When the badge is present the top line carries a Changed by label; without it a single name is shown. Hovering the cell shows the creator, the person who changed the record and the approver on three lines.</w:t>
      </w:r>
    </w:p>
    <w:p w14:paraId="03A70B0F" w14:textId="77777777" w:rsidR="00B319A3" w:rsidRDefault="00B319A3" w:rsidP="00B319A3">
      <w:r>
        <w:t>Whose name goes on the record. When approval is given the change is applied and the name written on the record is the person who REQUESTED it. The approver is recorded on the settings approval entry and in the audit trail. A single row therefore shows both the requester and the approver.</w:t>
      </w:r>
    </w:p>
    <w:p w14:paraId="3D7014EB" w14:textId="77777777" w:rsidR="00B319A3" w:rsidRDefault="00B319A3" w:rsidP="00B319A3">
      <w:r>
        <w:t>Two separate audit entries are written. One is the change itself and carries the requester name. The other is the approval entry and carries the approver name, time and IP address. The IP address at approval time belongs to the approver, so it is not written next to the requester; one row carrying wrong information is enough to weaken an audit trail.</w:t>
      </w:r>
    </w:p>
    <w:p w14:paraId="38CD04A0" w14:textId="5EFEC9D7" w:rsidR="00A252F9" w:rsidRDefault="00A252F9" w:rsidP="00A252F9">
      <w:r>
        <w:t>When the rule is off. While the four eyes rule is off there is no approver. Only one person changes the record, a single name appears in the column and no approval badge is shown. An earlier approval given while the rule was on is no longer shown if the record was later changed directly, because that approval does not cover the current state of the record.</w:t>
      </w:r>
    </w:p>
    <w:p w14:paraId="2F9CD113" w14:textId="156758F9" w:rsidR="00B319A3" w:rsidRDefault="00B319A3" w:rsidP="00B319A3">
      <w:r>
        <w:t>The refresh button. Because another user gives the approval, the list on screen can become stale at any moment. The refresh button at the top right of the settings page refreshes the data of the open tab. When a decision is made on the approvals screen, the related screens refresh by themselves.</w:t>
      </w:r>
    </w:p>
    <w:p w14:paraId="2FF277F9" w14:textId="5C068A13" w:rsidR="00B319A3" w:rsidRDefault="00B319A3" w:rsidP="00B319A3">
      <w:r>
        <w:t>The settings approvals tab. This tab is visible only to users holding a permission of a screen inside the four eyes scope. Users with view only permissions do not see the tab, because the filtered list would be empty for them anyway.</w:t>
      </w:r>
    </w:p>
    <w:p w14:paraId="723D07A2" w14:textId="77777777" w:rsidR="00C97DD3" w:rsidRDefault="00C97DD3" w:rsidP="00C97DD3">
      <w:pPr>
        <w:pStyle w:val="Heading1"/>
      </w:pPr>
      <w:r>
        <w:t>How Times Are Shown</w:t>
      </w:r>
    </w:p>
    <w:p w14:paraId="2D060FEF" w14:textId="77777777" w:rsidR="00C97DD3" w:rsidRDefault="00C97DD3" w:rsidP="00C97DD3">
      <w:r>
        <w:t>Every time value in the system is stored in universal time (UTC). Local time is not a property of the data but a presentation choice. Two users in different cities therefore look at the same event and see the same instant; only the text on screen follows their own clock.</w:t>
      </w:r>
    </w:p>
    <w:p w14:paraId="38FBD365" w14:textId="77777777" w:rsidR="00C97DD3" w:rsidRDefault="00C97DD3" w:rsidP="00C97DD3">
      <w:r>
        <w:t>On screen. Dates and times are shown in the time zone of your browser. No separate setting is needed.</w:t>
      </w:r>
    </w:p>
    <w:p w14:paraId="50445AA3" w14:textId="77777777" w:rsidR="00C97DD3" w:rsidRDefault="00C97DD3" w:rsidP="00C97DD3">
      <w:r>
        <w:t>In documents. PDF, Excel and e-mail are produced on the server, where there is no browser, so the display time zone is read from the installation setting and written onto the document. A reader never has to guess what the time refers to. This choice is deliberate: if the time zone depended on the browser of the person requesting the document, the evidence dossier for the same request would produce two different documents for two auditors.</w:t>
      </w:r>
    </w:p>
    <w:p w14:paraId="258D79BD" w14:textId="77777777" w:rsidR="00C97DD3" w:rsidRDefault="00C97DD3" w:rsidP="00C97DD3">
      <w:r>
        <w:t>In date filters. When you pick a date range, the day is your local day. The start day is included from 00.00 and the end day is included until the end of that day.</w:t>
      </w:r>
    </w:p>
    <w:p w14:paraId="4C309B9D" w14:textId="77777777" w:rsidR="00C97DD3" w:rsidRDefault="00C97DD3" w:rsidP="00C97DD3">
      <w:r>
        <w:t>In the audit trail. Audit records are shown with seconds, so the order of two events inside the same minute can be read.</w:t>
      </w:r>
    </w:p>
    <w:sectPr w:rsidR="00C97DD3" w:rsidSect="005B46EB">
      <w:headerReference w:type="even" r:id="rId6"/>
      <w:headerReference w:type="default" r:id="rId7"/>
      <w:footerReference w:type="even" r:id="rId8"/>
      <w:footerReference w:type="default" r:id="rId9"/>
      <w:headerReference w:type="first" r:id="rId10"/>
      <w:footerReference w:type="first" r:id="rId11"/>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FEA1" w14:textId="77777777" w:rsidR="0044053D" w:rsidRDefault="0044053D" w:rsidP="005B46EB">
      <w:pPr>
        <w:spacing w:after="0"/>
      </w:pPr>
      <w:r>
        <w:separator/>
      </w:r>
    </w:p>
  </w:endnote>
  <w:endnote w:type="continuationSeparator" w:id="0">
    <w:p w14:paraId="5280C76A" w14:textId="77777777" w:rsidR="0044053D" w:rsidRDefault="0044053D" w:rsidP="005B46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4EFC" w14:textId="77777777" w:rsidR="005B46EB" w:rsidRDefault="005B4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2470" w14:textId="38F7FCA9" w:rsidR="005B46EB" w:rsidRPr="005B46EB" w:rsidRDefault="005B46EB" w:rsidP="005B46EB">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54294" w14:textId="77777777" w:rsidR="005B46EB" w:rsidRDefault="005B4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52AC" w14:textId="77777777" w:rsidR="0044053D" w:rsidRDefault="0044053D" w:rsidP="005B46EB">
      <w:pPr>
        <w:spacing w:after="0"/>
      </w:pPr>
      <w:r>
        <w:separator/>
      </w:r>
    </w:p>
  </w:footnote>
  <w:footnote w:type="continuationSeparator" w:id="0">
    <w:p w14:paraId="372BB220" w14:textId="77777777" w:rsidR="0044053D" w:rsidRDefault="0044053D" w:rsidP="005B46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27D8" w14:textId="77777777" w:rsidR="005B46EB" w:rsidRDefault="005B4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55B0" w14:textId="77777777" w:rsidR="005B46EB" w:rsidRDefault="005B4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0030" w14:textId="77777777" w:rsidR="005B46EB" w:rsidRDefault="005B46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6EB"/>
    <w:rsid w:val="000279E4"/>
    <w:rsid w:val="0003181F"/>
    <w:rsid w:val="00083652"/>
    <w:rsid w:val="00084427"/>
    <w:rsid w:val="000E02FC"/>
    <w:rsid w:val="000E08C1"/>
    <w:rsid w:val="00152048"/>
    <w:rsid w:val="0016093D"/>
    <w:rsid w:val="00190115"/>
    <w:rsid w:val="00206F27"/>
    <w:rsid w:val="00267DD2"/>
    <w:rsid w:val="002D4D57"/>
    <w:rsid w:val="003018E5"/>
    <w:rsid w:val="00303685"/>
    <w:rsid w:val="00327DB8"/>
    <w:rsid w:val="003B0C32"/>
    <w:rsid w:val="003B108A"/>
    <w:rsid w:val="003B2350"/>
    <w:rsid w:val="003B4D4B"/>
    <w:rsid w:val="003C2EC6"/>
    <w:rsid w:val="003D4FD6"/>
    <w:rsid w:val="003F4EBE"/>
    <w:rsid w:val="003F5899"/>
    <w:rsid w:val="00406C8E"/>
    <w:rsid w:val="0042717D"/>
    <w:rsid w:val="0044053D"/>
    <w:rsid w:val="004D1D97"/>
    <w:rsid w:val="004F1EA7"/>
    <w:rsid w:val="00511DDA"/>
    <w:rsid w:val="00522ABE"/>
    <w:rsid w:val="00553DCC"/>
    <w:rsid w:val="005B46EB"/>
    <w:rsid w:val="00603D4F"/>
    <w:rsid w:val="006636EB"/>
    <w:rsid w:val="006A7679"/>
    <w:rsid w:val="006B4AE3"/>
    <w:rsid w:val="006C4181"/>
    <w:rsid w:val="006F2242"/>
    <w:rsid w:val="00701B76"/>
    <w:rsid w:val="007B24BD"/>
    <w:rsid w:val="007D3F66"/>
    <w:rsid w:val="007F0E99"/>
    <w:rsid w:val="00832DEC"/>
    <w:rsid w:val="008446F1"/>
    <w:rsid w:val="00855D89"/>
    <w:rsid w:val="008A0CAE"/>
    <w:rsid w:val="008A7F6E"/>
    <w:rsid w:val="008B7304"/>
    <w:rsid w:val="008F1D77"/>
    <w:rsid w:val="008F71A3"/>
    <w:rsid w:val="00906D2C"/>
    <w:rsid w:val="009523F9"/>
    <w:rsid w:val="009851E9"/>
    <w:rsid w:val="00996866"/>
    <w:rsid w:val="009B07A6"/>
    <w:rsid w:val="009E3D73"/>
    <w:rsid w:val="00A04614"/>
    <w:rsid w:val="00A252F9"/>
    <w:rsid w:val="00AB281C"/>
    <w:rsid w:val="00B319A3"/>
    <w:rsid w:val="00B32DE2"/>
    <w:rsid w:val="00B46104"/>
    <w:rsid w:val="00B74CEE"/>
    <w:rsid w:val="00B973D7"/>
    <w:rsid w:val="00BA57F3"/>
    <w:rsid w:val="00BE7E79"/>
    <w:rsid w:val="00C02028"/>
    <w:rsid w:val="00C97DD3"/>
    <w:rsid w:val="00CB157C"/>
    <w:rsid w:val="00CB2C37"/>
    <w:rsid w:val="00D078AA"/>
    <w:rsid w:val="00D4642B"/>
    <w:rsid w:val="00D51113"/>
    <w:rsid w:val="00D6083C"/>
    <w:rsid w:val="00D62425"/>
    <w:rsid w:val="00DB0D61"/>
    <w:rsid w:val="00DB2E06"/>
    <w:rsid w:val="00DC6ACA"/>
    <w:rsid w:val="00DE30AF"/>
    <w:rsid w:val="00E4498A"/>
    <w:rsid w:val="00E5708D"/>
    <w:rsid w:val="00E609AB"/>
    <w:rsid w:val="00EA588B"/>
    <w:rsid w:val="00F2215C"/>
    <w:rsid w:val="00F511FA"/>
    <w:rsid w:val="00F70E56"/>
    <w:rsid w:val="00FB14D3"/>
    <w:rsid w:val="00FE2609"/>
    <w:rsid w:val="00FF6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52EF"/>
  <w15:chartTrackingRefBased/>
  <w15:docId w15:val="{5E28F4AB-F1D2-47CF-AD9F-055CAF9B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5B46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B46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46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46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46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4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6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B46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46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46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46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4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6EB"/>
    <w:rPr>
      <w:rFonts w:eastAsiaTheme="majorEastAsia" w:cstheme="majorBidi"/>
      <w:color w:val="272727" w:themeColor="text1" w:themeTint="D8"/>
    </w:rPr>
  </w:style>
  <w:style w:type="paragraph" w:styleId="Title">
    <w:name w:val="Title"/>
    <w:basedOn w:val="Normal"/>
    <w:next w:val="Normal"/>
    <w:link w:val="TitleChar"/>
    <w:uiPriority w:val="10"/>
    <w:qFormat/>
    <w:rsid w:val="005B46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6EB"/>
    <w:pPr>
      <w:spacing w:before="160"/>
      <w:jc w:val="center"/>
    </w:pPr>
    <w:rPr>
      <w:i/>
      <w:iCs/>
      <w:color w:val="404040" w:themeColor="text1" w:themeTint="BF"/>
    </w:rPr>
  </w:style>
  <w:style w:type="character" w:customStyle="1" w:styleId="QuoteChar">
    <w:name w:val="Quote Char"/>
    <w:basedOn w:val="DefaultParagraphFont"/>
    <w:link w:val="Quote"/>
    <w:uiPriority w:val="29"/>
    <w:rsid w:val="005B46EB"/>
    <w:rPr>
      <w:i/>
      <w:iCs/>
      <w:color w:val="404040" w:themeColor="text1" w:themeTint="BF"/>
    </w:rPr>
  </w:style>
  <w:style w:type="paragraph" w:styleId="ListParagraph">
    <w:name w:val="List Paragraph"/>
    <w:basedOn w:val="Normal"/>
    <w:uiPriority w:val="34"/>
    <w:qFormat/>
    <w:rsid w:val="005B46EB"/>
    <w:pPr>
      <w:ind w:left="720"/>
      <w:contextualSpacing/>
    </w:pPr>
  </w:style>
  <w:style w:type="character" w:styleId="IntenseEmphasis">
    <w:name w:val="Intense Emphasis"/>
    <w:basedOn w:val="DefaultParagraphFont"/>
    <w:uiPriority w:val="21"/>
    <w:qFormat/>
    <w:rsid w:val="005B46EB"/>
    <w:rPr>
      <w:i/>
      <w:iCs/>
      <w:color w:val="2F5496" w:themeColor="accent1" w:themeShade="BF"/>
    </w:rPr>
  </w:style>
  <w:style w:type="paragraph" w:styleId="IntenseQuote">
    <w:name w:val="Intense Quote"/>
    <w:basedOn w:val="Normal"/>
    <w:next w:val="Normal"/>
    <w:link w:val="IntenseQuoteChar"/>
    <w:uiPriority w:val="30"/>
    <w:qFormat/>
    <w:rsid w:val="005B46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46EB"/>
    <w:rPr>
      <w:i/>
      <w:iCs/>
      <w:color w:val="2F5496" w:themeColor="accent1" w:themeShade="BF"/>
    </w:rPr>
  </w:style>
  <w:style w:type="character" w:styleId="IntenseReference">
    <w:name w:val="Intense Reference"/>
    <w:basedOn w:val="DefaultParagraphFont"/>
    <w:uiPriority w:val="32"/>
    <w:qFormat/>
    <w:rsid w:val="005B46EB"/>
    <w:rPr>
      <w:b/>
      <w:bCs/>
      <w:smallCaps/>
      <w:color w:val="2F5496" w:themeColor="accent1" w:themeShade="BF"/>
      <w:spacing w:val="5"/>
    </w:rPr>
  </w:style>
  <w:style w:type="paragraph" w:styleId="Header">
    <w:name w:val="header"/>
    <w:basedOn w:val="Normal"/>
    <w:link w:val="HeaderChar"/>
    <w:uiPriority w:val="99"/>
    <w:unhideWhenUsed/>
    <w:rsid w:val="005B46EB"/>
    <w:pPr>
      <w:tabs>
        <w:tab w:val="center" w:pos="4703"/>
        <w:tab w:val="right" w:pos="9406"/>
      </w:tabs>
      <w:spacing w:after="0"/>
    </w:pPr>
  </w:style>
  <w:style w:type="character" w:customStyle="1" w:styleId="HeaderChar">
    <w:name w:val="Header Char"/>
    <w:basedOn w:val="DefaultParagraphFont"/>
    <w:link w:val="Header"/>
    <w:uiPriority w:val="99"/>
    <w:rsid w:val="005B46EB"/>
    <w:rPr>
      <w:rFonts w:ascii="Segoe UI" w:hAnsi="Segoe UI"/>
      <w:color w:val="1E293B"/>
      <w:sz w:val="22"/>
    </w:rPr>
  </w:style>
  <w:style w:type="paragraph" w:styleId="Footer">
    <w:name w:val="footer"/>
    <w:basedOn w:val="Normal"/>
    <w:link w:val="FooterChar"/>
    <w:uiPriority w:val="99"/>
    <w:unhideWhenUsed/>
    <w:rsid w:val="005B46EB"/>
    <w:pPr>
      <w:tabs>
        <w:tab w:val="center" w:pos="4703"/>
        <w:tab w:val="right" w:pos="9406"/>
      </w:tabs>
      <w:spacing w:after="0"/>
    </w:pPr>
  </w:style>
  <w:style w:type="character" w:customStyle="1" w:styleId="FooterChar">
    <w:name w:val="Footer Char"/>
    <w:basedOn w:val="DefaultParagraphFont"/>
    <w:link w:val="Footer"/>
    <w:uiPriority w:val="99"/>
    <w:rsid w:val="005B46EB"/>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3720</Words>
  <Characters>21206</Characters>
  <Application>Microsoft Office Word</Application>
  <DocSecurity>0</DocSecurity>
  <Lines>176</Lines>
  <Paragraphs>49</Paragraphs>
  <ScaleCrop>false</ScaleCrop>
  <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28</cp:revision>
  <dcterms:created xsi:type="dcterms:W3CDTF">2026-07-13T13:10:00Z</dcterms:created>
  <dcterms:modified xsi:type="dcterms:W3CDTF">2026-10-22T06:28:00Z</dcterms:modified>
</cp:coreProperties>
</file>