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  <w:r>
        <w:t xml:space="preserve"/>
      </w:r>
    </w:p>
    <w:p>
      <w:pPr>
        <w:spacing w:before="200" w:after="60"/>
        <w:jc w:val="center"/>
      </w:pPr>
      <w:r>
        <w:rPr>
          <w:rFonts w:ascii="Arial" w:cs="Arial" w:eastAsia="Arial" w:hAnsi="Arial"/>
          <w:b/>
          <w:bCs/>
          <w:color w:val="1F3864"/>
          <w:sz w:val="64"/>
          <w:szCs w:val="64"/>
        </w:rPr>
        <w:t xml:space="preserve">SQL Change Guard</w:t>
      </w:r>
    </w:p>
    <w:p>
      <w:pPr>
        <w:spacing w:before="0" w:after="200"/>
        <w:jc w:val="center"/>
      </w:pPr>
      <w:r>
        <w:rPr>
          <w:rFonts w:ascii="Arial" w:cs="Arial" w:eastAsia="Arial" w:hAnsi="Arial"/>
          <w:color w:val="2E75B6"/>
          <w:sz w:val="28"/>
          <w:szCs w:val="28"/>
        </w:rPr>
        <w:t xml:space="preserve">Veritabanı Değişiklik Yönetiminde Güven ve Otomasyon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100"/>
              <w:jc w:val="center"/>
            </w:pP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Kurumsal SQL Deployment Sürecini Otomatikleştiren,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A8C8E8"/>
                <w:sz w:val="22"/>
                <w:szCs w:val="22"/>
              </w:rPr>
              <w:t xml:space="preserve">Audit Sürecini Güçlendiren ve Riskleri Minimize Eden Çözüm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60"/>
        <w:gridCol w:w="2360"/>
        <w:gridCol w:w="2360"/>
        <w:gridCol w:w="2666"/>
      </w:tblGrid>
      <w:tr>
        <w:trPr>
          <w:tblHeader/>
        </w:trPr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Teknoloji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Uyumluluk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Platform</w:t>
            </w:r>
          </w:p>
        </w:tc>
        <w:tc>
          <w:tcPr>
            <w:tcW w:type="dxa" w:w="26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İletişim</w:t>
            </w:r>
          </w:p>
        </w:tc>
      </w:tr>
      <w:tr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.NET Framework 4.7.2 / C# 7.3 / WPF / Windows Service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COBIT · ITIL · KVKK · ISO 27001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SQL Server (On-Premise, Kurum Networkü)</w:t>
            </w:r>
          </w:p>
        </w:tc>
        <w:tc>
          <w:tcPr>
            <w:tcW w:type="dxa" w:w="26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info@sqlchangeguard.com · www.sqlchangeguard.com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1. Genel Bakış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SQL Change Guard, SQL Server ortamlarında veritabanı değişiklik süreçlerini uçtan uca otomatikleştiren, denetlenebilir ve güvenli hale getiren kurumsal bir platformdur. Sistem; Change Request yönetiminden Risk Skorlamaya, Sandbox testinden Otomatik Deployment'a, Query Result yönetiminden kapsamlı Audit Raporlamaya kadar geniş bir fonksiyonalite sunar.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59E0B" w:sz="4"/>
              <w:left w:val="single" w:color="F59E0B" w:sz="16"/>
              <w:bottom w:val="single" w:color="F59E0B" w:sz="4"/>
              <w:right w:val="single" w:color="F59E0B" w:sz="4"/>
            </w:tcBorders>
            <w:shd w:fill="FFF9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SQL Change Guard tamamen kurum networkünde çalışır, internete ihtiyaç duymaz ve herhangi bir dış sunucuya veri göndermez. Tüm veriler kurumun kendi veritabanında tutulur.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1.1 Neden SQL Change Guard?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Kurumsal ortamlarda SQL script yönetimi çoğunlukla e-posta üzerinden yürütülür; kim onayladı, ne zaman çalıştırıldı, hangi ortama geçti soruları manuel takiple yanıtlanmaya çalışılır. Bu yaklaşımın yarattığı başlıca riskler şunlardır: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00"/>
        <w:gridCol w:w="434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 Alanı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Manuel Süreçteki Problem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SQL Change Guard Çözümü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 Kaybı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WHERE koşulu unutulan DELETE/UPDATE milyonlarca kaydı silebilir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analiz motoru WHERE eksikliğini deployment öncesinde tespit eder ve engeller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Audit İzi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Kim ne zaman ne çalıştırdı sorusu mail ve log taramasıyla yanıtlanır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Her adım (talep, onay, execute, rollback) otomatik ve eksiksiz loglanır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Onay Süreci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Mail zincirinde onayın kaybolması, eksik onaylarla geçiş yapılması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 bazlı onay akışı; onay alınmadan deploy edilemez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Geri Alma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Hatalı geçiş sonrası rollback planı genellikle hazır değildir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Rollback talebi Change Request'ten otomatik oluşturulur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Uyum / Denetim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Denetçilere kanıt sunmak için yoğun hazırlık süreci gerekir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Tek tıkla COBIT/ITIL uyumlu raporlar ve tam audit trail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Encoding Hatası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Geliştirici ANSI ile gönderir, karakter bozulmaları fark edilmez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encoding kontrol validasyonu ile tespit edilir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Standart Uyum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Kurumsal SQL standartlarına uyum gözle kontrol edilir, sık atlanır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65+ SQL standart kuralı her script'e otomatik uygulanır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2. Uygulama Mimarisi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SQL Change Guard üç temel bileşenden oluşmaktadır. Bu yapı; merkezi güncelleme, yüksek erişilebilirlik ve sıfır kurulum maliyeti sağlayacak şekilde tasarlanmıştır.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47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Bileşen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Tür</w:t>
            </w:r>
          </w:p>
        </w:tc>
        <w:tc>
          <w:tcPr>
            <w:tcW w:type="dxa" w:w="4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Görev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SQLChangeGuard.exe (WPF)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Masaüstü Uygulaması</w:t>
            </w:r>
          </w:p>
        </w:tc>
        <w:tc>
          <w:tcPr>
            <w:tcW w:type="dxa" w:w="4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Tüm kullanıcı işlemleri: talep girişi, onay, execute, raporlama, yönetim ekranları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SQLChangeGuard.Service.exe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Windows Service</w:t>
            </w:r>
          </w:p>
        </w:tc>
        <w:tc>
          <w:tcPr>
            <w:tcW w:type="dxa" w:w="4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Arka planda sürekli çalışır; schedule edilmiş talepleri, server-based otomatik geçişleri ve Release Package'ları execute eder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SQLChangeGuard.Launcher.exe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WPF Launcher</w:t>
            </w:r>
          </w:p>
        </w:tc>
        <w:tc>
          <w:tcPr>
            <w:tcW w:type="dxa" w:w="4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Ortak dizindeki WPF uygulamasını kontrol eder, yeni versiyon varsa indirir ve çalıştırır. Kullanıcıların masaüstüne yalnızca bu kısayol eklenir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59E0B" w:sz="4"/>
              <w:left w:val="single" w:color="F59E0B" w:sz="16"/>
              <w:bottom w:val="single" w:color="F59E0B" w:sz="4"/>
              <w:right w:val="single" w:color="F59E0B" w:sz="4"/>
            </w:tcBorders>
            <w:shd w:fill="FFF9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Kurulum: DLL ve EXE dosyaları ilgili dizine kopyalanır. Launcher kısayolu masaüstüne eklenir. Config dosyasına WPF uygulama yolu tanımlanır. Setup paketi gerekmez.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6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2.1 Teknoloji Yığını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Katman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Teknoloji / Detay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Framework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.NET Framework 4.7.2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Dil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C# 7.3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UI Katmanı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WPF (Windows Presentation Foundation)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Servis Katmanı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Windows Service (.NET)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Veritabanı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Microsoft SQL Server (SSMS ile çalıştırılabilecek her ortam)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Şifreleme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AES-256-CBC (bağlantı bilgileri ve hassas veriler için)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Parser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T-SQL Script Parser (tüm script analizi bu motor üzerinden yapılır)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3. Modüller ve Temel Fonksiyonalite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SQL Change Guard aşağıdaki modüllerden oluşmaktadır. Her modül birbiriyle entegre çalışır ve merkezi bir workflow üzerinden yönetilir.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2E75B6" w:sz="2"/>
              <w:right w:val="none" w:color="FFFFFF" w:sz="0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Modül 1 — Change Management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Veritabanı değişiklik taleplerinin (DDL/DML/DCL) talep — onay — deploy — rollback yaşam döngüsünü yönetir.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Özellik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İstek Türleri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Change Request (CR), Rollback Request (CR'den otomatik oluşturulur), Query Result Request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Transaction Güvencesi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Her script tek bir transaction içinde çalıştırılır; hata durumunda otomatik rollback yapılır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Onay Akışı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PENDING → INTERMEDIATEAPPROVED (isteğe bağlı CAB onayı) → EXECUTED / REJECTED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Kanıt Belgesi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DML/DCL işlemi içeren her talep için zorunlu kanıt dokümanı (.jpg, .pdf, .xlsx, .eml, .zip)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Object Diff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Talep edilen değişiklik hedef server'daki mevcut nesneyle karşılaştırılabilir (View Diff)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GO Block Desteği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SSMS'de transaction içinde hata veren GO bloklarını hatasız çalıştırır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2E75B6" w:sz="2"/>
              <w:right w:val="none" w:color="FFFFFF" w:sz="0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Modül 2 — Query Result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SELECT sorgusu çalıştırarak sonuçları güvenli biçimde iletir. KVKK uyumu için hassas veri maskeleme sunar.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Özellik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Multi-Server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Tek bir talep ile birden fazla SQL Server'da aynı anda sorgu çalıştırılabilir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 Maskeleme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QRInconvenientColumns tablosunda tanımlı kolonlar (SSN, IBAN, kredi kartı vb.) CharacterShuffling yöntemiyle şifrelenir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Excel Export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Sorgu sonucu otomatik Excel dosyasına aktarılır ve dosya yolu kaydedilir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Mail İletimi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Sonuç dosyası belirlenen TO/CC alıcılarına otomatik olarak gönderilir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Hassas Tespit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Kolon isimleri analiz edilerek olası hassas veriler geçiş öncesinde uyarı olarak gösterilir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2E75B6" w:sz="2"/>
              <w:right w:val="none" w:color="FFFFFF" w:sz="0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Modül 3 — Rollback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Hatalı deployment durumlarında geri alma işlemini güvenli ve izlenebilir biçimde gerçekleştirir.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Özellik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Otomatik Oluşturma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Her Change Request için DML hariç rollback script'i otomatik üretilir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Bağımsız Yaşam Döngüsü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Rollback talebi CR'den oluşturulur ancak kendi onay-execute akışında ilerler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Sandbox Testi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Rollback talebi deploy edilmeden önce sandbox ortamında test edilebilir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Birlikte Test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ve Rollback birlikte sandbox'ta test edilerek geçiş güvencesi sağlanır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2E75B6" w:sz="2"/>
              <w:right w:val="none" w:color="FFFFFF" w:sz="0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Modül 4 — Risk Scoring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Her script için 0-100 arası otomatik risk skoru hesaplar. Bu skor; onay sürecini, otomatik geçiş eşiklerini ve raporlamayı doğrudan etkiler.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Bileşen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Detay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Formül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Risk Skoru = 100 − (TotalRiskPoints × ComplexityMultiplier)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Risk Kategorileri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Critical (×4), High (×3), Medium (×2), Low (×1) çarpanlarıyla ağırlıklı hesaplama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Karmaşıklık Çarpanı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≤3 validasyon: ×1.0 | ≤8: ×1.1 | ≤15: ×1.2 | &gt;15: ×1.3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Risk Seviyeleri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≥85: Low | ≥70: Medium | ≥50: High | &lt;50: Critical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Frekans Analizi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Aynı kural birden fazla kez ihlal edildiğinde frekans çarpanı devreye girer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Kullanım Alanları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Otomatik geçiş eşiği belirleme, onay zorunluluğu, release package sıralama, developer performans analizi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2E75B6" w:sz="2"/>
              <w:right w:val="none" w:color="FFFFFF" w:sz="0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Modül 5 — Validation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Her script deploy edilmeden önce 65'ten fazla SQL standart kuralına göre otomatik analiz edilir. Validasyon deployment öncesinde bir koruma kalkanı görevi görür.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Kural Kategorisi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Örnekler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 Güvenliği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DELETE/UPDATE için WHERE koşulu eksikliği, TRUNCATE kullanımı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Loglama Standartları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Trigger varlığı ve isimlendirmesi, log tablosu zorunluluğu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 Sözlüğü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Tablo/kolon için Extended Property (MS_Description) eksikliği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Nesne Adlandırma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Naming convention uyumu (tablo, SP, index ön ekleri)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Performans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NOLOCK, WITH(READPAST), cursor kullanımı, gereksiz transaction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Kritik Nesne Erişimi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CriticalObjects listesindeki nesnelere yapılan SELECT veya schema değişiklikleri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Encoding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karakter encoding doğruluğu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59E0B" w:sz="4"/>
              <w:left w:val="single" w:color="F59E0B" w:sz="16"/>
              <w:bottom w:val="single" w:color="F59E0B" w:sz="4"/>
              <w:right w:val="single" w:color="F59E0B" w:sz="4"/>
            </w:tcBorders>
            <w:shd w:fill="FFF9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Validasyon sonuçları script üzerinde ilgili satıra otomatik focus sağlar. Her uyarı tıklanabilir ve IconType (Information / Warning / Error) ile sınıflandırılır.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2E75B6" w:sz="2"/>
              <w:right w:val="none" w:color="FFFFFF" w:sz="0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Modül 6 — Sandbox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Değişikliği production'a göndermeden önce belirlenen bir test ortamında güvenli biçimde denemek için kullanılır.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Özellik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Test Mekanizması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BEGIN TRANSACTION → Script Execute → ROLLBACK TRANSACTION akışıyla gerçek bir execute simüle edilir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Ortam Seçimi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Geçilecek ortamın kendisi veya aynı yapıdaki başka bir ortam seçilebilir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+ Rollback Testi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Hem Change Request hem de Rollback birlikte sandbox'ta test edilebilir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Release Package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Paket içindeki tüm CR'ler sırayla sandbox testine tabi tutulabilir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2E75B6" w:sz="2"/>
              <w:right w:val="none" w:color="FFFFFF" w:sz="0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Modül 7 — Release Package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Birden fazla Change Request'i tek bir paket altında toplayan, bağımlılık yönetimi ve sıralı deployment sunan modüldür.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Özellik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Gruplama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Seçilen CR'ler bir Release Name altında paketlenir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Bağımlılık Yönetimi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CR'ler arasında DependsOn ilişkisi kurularak otomatik sıralama yapılır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Execution Mode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StopOnError, ContinueOnError veya AllOrNothing modlarından biri seçilir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Zamanlanmış Geçiş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Paket belirli bir tarih/saatte otomatik çalıştırılacak şekilde schedule edilebilir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Drag &amp; Drop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Sıralama manuel olarak da sürükle-bırak ile düzenlenebilir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2E75B6" w:sz="2"/>
              <w:right w:val="none" w:color="FFFFFF" w:sz="0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Modül 8 — Auto Execution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Windows Service tarafından yönetilen otomatik geçiş mekanizmaları. İnsan müdahalesi gerektirmeden talepler güvenle deploy edilebilir.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Schedule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belirli bir tarih/saate atanır, servis o saatte otomatik execute eder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Server-Based Threshold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Server bazında belirlenen süre (örn: girişten 10 dk sonra) dolduğunda ve risk skoru eşiği sağlandığında otomatik geçiş yapılır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Release Package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Paket tanımlanan tarihte servis tarafından sırayla çalıştırılır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2E75B6" w:sz="2"/>
              <w:right w:val="none" w:color="FFFFFF" w:sz="0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Modül 9 — Reporting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Tüm sürecin audit, güvenlik, operasyonel ve performans boyutlarını kapsayan 10 farklı rapor sunulur.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Rapor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İçerik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Dependent Change Tickets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Aynı nesneye dokunan farklı ticket'ların bağımlılık analizi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Requests Detail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Nesne bazlı değişiklik detayı; environment, status, operasyon sayısı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Security Operations Audit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GRANT, REVOKE, CREATE USER, DROP USER gibi DCL işlemlerinin tam kaydı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Manual Data Changes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INSERT, UPDATE, DELETE, TRUNCATE, EXEC — DML operasyon analizi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Object Change Frequency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Hangi nesneler ne sıklıkla değişiyor, son değişiklik tarihi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 Modify Change Frequency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Tablo bazında veri modifikasyonu frekansı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Event Log Report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Kullanıcı aktivitesi; hangi form, hangi kontrol, hangi işlem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Critical Objects Access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Kritik olarak tanımlanmış nesnelere erişim logları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Work In Progress Objects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Dev/Test'te bekleyen, prod'a çıkmamış nesneler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Performance Report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10 perspektifli geliştirici ve süreç performans analizi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2E75B6" w:sz="2"/>
              <w:right w:val="none" w:color="FFFFFF" w:sz="0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Modül 10 — Performance Report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Geliştiricilerin ve ekiplerin SQL değişiklik süreçlerindeki performansını çok boyutlu olarak ölçer. Tüm metrikler percentile-based dynamic threshold sistemiyle kalibre edilir.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500"/>
        <w:gridCol w:w="5246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Metrik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Ağırlık</w:t>
            </w:r>
          </w:p>
        </w:tc>
        <w:tc>
          <w:tcPr>
            <w:tcW w:type="dxa" w:w="52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Ne Ölçer?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Quality Score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%35</w:t>
            </w:r>
          </w:p>
        </w:tc>
        <w:tc>
          <w:tcPr>
            <w:tcW w:type="dxa" w:w="52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kalitesi, risk ihlalleri ve kritik bulgu sayısına göre hesaplanır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Speed Score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%30</w:t>
            </w:r>
          </w:p>
        </w:tc>
        <w:tc>
          <w:tcPr>
            <w:tcW w:type="dxa" w:w="52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Talebin tamamlanma süresine (gün) ve prod'a çıkış hızına göre belirlenir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Complexity Score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%20</w:t>
            </w:r>
          </w:p>
        </w:tc>
        <w:tc>
          <w:tcPr>
            <w:tcW w:type="dxa" w:w="52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Etkilenen nesne sayısı, script karmaşıklığı ve validasyon yüküne dayanır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Size Score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%15</w:t>
            </w:r>
          </w:p>
        </w:tc>
        <w:tc>
          <w:tcPr>
            <w:tcW w:type="dxa" w:w="52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sayısı, etkilenen veritabanı sayısı ve nesne çeşitliliğini yansıtır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2E75B6" w:sz="2"/>
              <w:right w:val="none" w:color="FFFFFF" w:sz="0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Modül 11 — External Database Changes Monitoring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SQL Change Guard dışında, doğrudan SSMS veya başka araçlarla veritabanına yapılan değişiklikleri izler ve raporlar.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Özellik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Kapsam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Uygulama dışından yapılan DDL ve DML değişikliklerini tespit eder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Uyarı Mekanizması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Kritik nesneler üzerindeki dış erişimler anında uyarı üretir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Audit Trail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Tüm dış değişiklikler kayıt altına alınarak raporlanabilir hale gelir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Risk Bağlantısı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Tespit edilen dış değişiklikler risk skorlama ve raporlama modülleriyle entegre çalışır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2E75B6" w:sz="2"/>
              <w:right w:val="none" w:color="FFFFFF" w:sz="0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Modül 12 — Object History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Bir veritabanı nesnesinin tüm değişiklik geçmişini kronolojik olarak sunar. Kimin, ne zaman, hangi değişikliği yaptığı tam izlenebilirlik sağlar.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Özellik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Nesne Bazlı Görünüm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Tablo, SP, view veya herhangi bir nesne seçilerek tüm geçmiş listelenir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Zaman Damgası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Her değişikliğin tam tarih/saat kaydı mevcuttur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Kullanıcı Takibi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Hangi kullanıcı tarafından yapıldığı, hangi CR kapsamında olduğu görülür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Erişimi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Geçmişteki herhangi bir script versiyonuna erişilebilir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4. Rol Bazlı Yetkilendirme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SQL Change Guard görevler ayrılığı ilkesine göre tasarlanmıştır. Her rol yalnızca kendi sorumluluk alanındaki işlemleri gerçekleştirebilir.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400"/>
        <w:gridCol w:w="1400"/>
        <w:gridCol w:w="1700"/>
        <w:gridCol w:w="1400"/>
        <w:gridCol w:w="1400"/>
        <w:gridCol w:w="1046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Talep Oluşturma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Execute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Tüm Talepleri Görme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Onaylama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Raporlar</w:t>
            </w:r>
          </w:p>
        </w:tc>
        <w:tc>
          <w:tcPr>
            <w:tcW w:type="dxa" w:w="1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Dashboard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Admin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  <w:tc>
          <w:tcPr>
            <w:tcW w:type="dxa" w:w="1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Developer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Analyst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  <w:tc>
          <w:tcPr>
            <w:tcW w:type="dxa" w:w="1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ChangeManager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  <w:tc>
          <w:tcPr>
            <w:tcW w:type="dxa" w:w="1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5. Bankacılık ve Denetim Gereksinimleri Karşılığı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SQL Change Guard, bankacılık denetimlerinde talep edilen kanıt kategorilerinin tamamını karşılayacak şekilde tasarlanmıştır.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946"/>
      </w:tblGrid>
      <w:tr>
        <w:trPr>
          <w:tblHeader/>
        </w:trP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Denetim Talebi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SQL Change Guard Karşılığı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DML (INSERT/UPDATE/DELETE) denetim izi kayıtları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Manual Data Changes raporu — tüm DML operasyonları tarih, kullanıcı ve ortam bilgisiyle loglanır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DDL (CREATE/DROP/ALTER) denetim izi kayıtları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Requests Detail ve Object History raporları — tüm schema değişiklikleri izlenir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DCL (GRANT/REVOKE/CREATE USER) denetim izi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Security Operations Audit raporu — yetkilendirme değişikliklerinin tam kaydı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Deploy öncesi onay alındığına dair kanıt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Her CR için PENDING → onay → EXECUTED akışı ve zaman damgalı onay kaydı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Deployment logları (tarih aralığı bazlı)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Requests Detail raporu tarih filtresiyle deployment geçmişini sunar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Canlıya alım onayı verebilen kullanıcı listesi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ChangeManager rolüne atanmış kullanıcıların listesi sistemden alınabilir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Ayrıcalıklı hesapların işlem takibi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Event Log Report ve Critical Objects Access raporu ile admin aktivitesi izlenir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Onay alınmadan deploy yapılamadığına dair kanıt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Onay alınmadan execute edilemeyen sistem mimarisi ve log kayıtları kanıt teşkil eder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Acil durum yetkilendirme kanıtı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Emergency access talepleri özel akışla loglanır ve raporlanabilir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6. Temel Faydalar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Fayda Alanı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Beklenen Etki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Prod Sonrası Hata Azaltımı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Otomatik validasyon ve sandbox testi ile kritik hatalar deployment öncesinde engellenir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Deployment Süresi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Talep–onay–deploy sürecinde %50–70 hız artışı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Audit Hazırlık Süresi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Denetim dönemlerinde kanıt toplama süresi sıfıra yaklaşır; tüm loglar hazır ve erişilebilir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E-posta Trafiği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iletimi, onay takibi ve bildirimler sistem içi notification'a taşınır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 Güvenliği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WHERE koşulu eksikliği, kritik nesne erişimi ve hassas veri iletimi sistematik olarak kontrol altına alınır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Geliştirici Performansı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Quality, Speed, Complexity ve Size boyutlarında nesnel ölçüm ve iyileştirme fırsatı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Kurulum Kolaylığı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Setup paketi yoktur; DLL/EXE kopyalama yeterlidir. Güncelleme merkezi dizinden otomatik yönetilir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7. İletişim ve Demo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240"/>
              <w:left w:type="dxa" w:w="300"/>
              <w:bottom w:type="dxa" w:w="240"/>
              <w:right w:type="dxa" w:w="300"/>
            </w:tcMar>
          </w:tcPr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15 Dakikalık Demo İçin Bize Ulaşın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color w:val="A8C8E8"/>
                <w:sz w:val="22"/>
                <w:szCs w:val="22"/>
              </w:rPr>
              <w:t xml:space="preserve">E-Posta: info@sqlchangeguard.com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A8C8E8"/>
                <w:sz w:val="22"/>
                <w:szCs w:val="22"/>
              </w:rPr>
              <w:t xml:space="preserve">Web: www.sqlchangeguard.com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/>
      </w:pBdr>
      <w:spacing w:before="80"/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www.sqlchangeguard.com   |   Sayfa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/>
      </w:pBdr>
      <w:spacing w:after="120"/>
    </w:pPr>
    <w:r>
      <w:rPr>
        <w:rFonts w:ascii="Arial" w:cs="Arial" w:eastAsia="Arial" w:hAnsi="Arial"/>
        <w:b/>
        <w:bCs/>
        <w:color w:val="2E75B6"/>
        <w:sz w:val="20"/>
        <w:szCs w:val="20"/>
      </w:rPr>
      <w:t xml:space="preserve">SQL Change Guard</w:t>
    </w:r>
    <w:r>
      <w:rPr>
        <w:rFonts w:ascii="Arial" w:cs="Arial" w:eastAsia="Arial" w:hAnsi="Arial"/>
        <w:color w:val="666666"/>
        <w:sz w:val="18"/>
        <w:szCs w:val="18"/>
      </w:rPr>
      <w:t xml:space="preserve">   |   Tanıtım Dökümanı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2026-03-07T09:13:02.955Z</dcterms:created>
  <dcterms:modified xsi:type="dcterms:W3CDTF">2026-03-07T09:13:02.956Z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